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firstLine="210"/>
        <w:rPr>
          <w:rFonts w:ascii="Times New Roman" w:hAnsi="Times New Roman" w:cs="Times New Roman"/>
          <w:highlight w:val="none"/>
        </w:rPr>
      </w:pPr>
    </w:p>
    <w:p>
      <w:pPr>
        <w:ind w:left="2719" w:leftChars="247" w:hanging="2200" w:hangingChars="50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中和镇中和村10、11组  </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ZH-6-11-3</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512002014014GB00133   </w:t>
      </w:r>
    </w:p>
    <w:p>
      <w:pPr>
        <w:rPr>
          <w:rFonts w:ascii="Times New Roman" w:hAnsi="Times New Roman" w:eastAsia="宋体-方正超大字符集" w:cs="Times New Roman"/>
          <w:b/>
          <w:sz w:val="44"/>
          <w:szCs w:val="44"/>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b/>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20"/>
        <w:rPr>
          <w:highlight w:val="none"/>
        </w:rPr>
      </w:pPr>
    </w:p>
    <w:p>
      <w:pPr>
        <w:ind w:firstLine="3975" w:firstLineChars="900"/>
        <w:rPr>
          <w:rFonts w:ascii="Times New Roman" w:hAnsi="Times New Roman" w:eastAsia="仿宋_GB2312" w:cs="Times New Roman"/>
          <w:b/>
          <w:bCs/>
          <w:sz w:val="52"/>
          <w:szCs w:val="52"/>
          <w:highlight w:val="none"/>
        </w:rPr>
      </w:pP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8</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25</w:t>
      </w:r>
      <w:r>
        <w:rPr>
          <w:rFonts w:ascii="Times New Roman" w:hAnsi="Times New Roman" w:eastAsia="仿宋_GB2312" w:cs="Times New Roman"/>
          <w:b/>
          <w:bCs/>
          <w:sz w:val="44"/>
          <w:szCs w:val="44"/>
          <w:highlight w:val="none"/>
        </w:rPr>
        <w:t>日</w:t>
      </w:r>
    </w:p>
    <w:p>
      <w:pPr>
        <w:jc w:val="center"/>
        <w:rPr>
          <w:rFonts w:ascii="Times New Roman" w:hAnsi="Times New Roman" w:eastAsia="仿宋_GB2312" w:cs="Times New Roman"/>
          <w:bCs/>
          <w:sz w:val="44"/>
          <w:szCs w:val="44"/>
          <w:highlight w:val="none"/>
        </w:rPr>
      </w:pPr>
    </w:p>
    <w:p>
      <w:pPr>
        <w:pStyle w:val="20"/>
        <w:rPr>
          <w:highlight w:val="none"/>
        </w:rPr>
      </w:pPr>
    </w:p>
    <w:p>
      <w:pPr>
        <w:pStyle w:val="2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0"/>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ZH-6-11-3</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7.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成交确认书（样本）</w:t>
      </w:r>
    </w:p>
    <w:p>
      <w:p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10</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2</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、建设项目竣工申报书（样本）</w:t>
      </w:r>
    </w:p>
    <w:p>
      <w:pPr>
        <w:spacing w:line="600" w:lineRule="exact"/>
        <w:ind w:left="288" w:hanging="288" w:hangingChars="100"/>
        <w:rPr>
          <w:rFonts w:hint="default" w:ascii="Times New Roman" w:hAnsi="Times New Roman" w:eastAsia="方正仿宋_GBK" w:cs="Times New Roman"/>
          <w:bCs/>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spacing w:val="-16"/>
          <w:sz w:val="32"/>
          <w:szCs w:val="32"/>
          <w:highlight w:val="none"/>
          <w:lang w:val="en-US" w:eastAsia="zh-CN"/>
        </w:rPr>
        <w:t>15、交地申请（样本）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17</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cs="Times New Roman"/>
          <w:sz w:val="32"/>
          <w:szCs w:val="32"/>
          <w:highlight w:val="none"/>
          <w:u w:val="single"/>
          <w:lang w:eastAsia="zh-CN"/>
        </w:rPr>
        <w:t>三</w:t>
      </w:r>
      <w:r>
        <w:rPr>
          <w:rFonts w:ascii="Times New Roman" w:hAnsi="Times New Roman" w:eastAsia="方正仿宋_GBK" w:cs="Times New Roman"/>
          <w:sz w:val="32"/>
          <w:szCs w:val="32"/>
          <w:highlight w:val="none"/>
          <w:u w:val="non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187"/>
        <w:gridCol w:w="1134"/>
        <w:gridCol w:w="1134"/>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08"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187"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103"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08"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87"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方正仿宋_GBK"/>
                <w:sz w:val="24"/>
                <w:highlight w:val="none"/>
                <w:lang w:val="en-US" w:eastAsia="zh-CN"/>
              </w:rPr>
              <w:t>ZH-5-29</w:t>
            </w:r>
          </w:p>
        </w:tc>
        <w:tc>
          <w:tcPr>
            <w:tcW w:w="1187"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s="Times New Roman"/>
                <w:sz w:val="24"/>
                <w:highlight w:val="none"/>
                <w:u w:val="none"/>
                <w:lang w:val="en-US" w:eastAsia="zh-CN"/>
              </w:rPr>
              <w:t>中和镇明月村4、5组</w:t>
            </w:r>
          </w:p>
        </w:tc>
        <w:tc>
          <w:tcPr>
            <w:tcW w:w="1134"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spacing w:val="-16"/>
                <w:sz w:val="24"/>
                <w:highlight w:val="none"/>
                <w:lang w:val="en-US" w:eastAsia="zh-CN"/>
              </w:rPr>
              <w:t>28302.42</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555</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ZH-6-11-3</w:t>
            </w:r>
          </w:p>
        </w:tc>
        <w:tc>
          <w:tcPr>
            <w:tcW w:w="1187" w:type="dxa"/>
            <w:vAlign w:val="center"/>
          </w:tcPr>
          <w:p>
            <w:pPr>
              <w:spacing w:line="320" w:lineRule="exact"/>
              <w:jc w:val="center"/>
              <w:rPr>
                <w:rFonts w:hint="eastAsia" w:ascii="Times New Roman" w:hAnsi="Times New Roman" w:eastAsia="方正仿宋_GBK"/>
                <w:szCs w:val="21"/>
                <w:highlight w:val="none"/>
                <w:lang w:eastAsia="zh-CN"/>
              </w:rPr>
            </w:pPr>
            <w:r>
              <w:rPr>
                <w:rFonts w:hint="eastAsia" w:ascii="Times New Roman" w:hAnsi="Times New Roman" w:eastAsia="方正仿宋_GBK" w:cs="Times New Roman"/>
                <w:sz w:val="24"/>
                <w:highlight w:val="none"/>
                <w:u w:val="none"/>
                <w:lang w:val="en-US" w:eastAsia="zh-CN"/>
              </w:rPr>
              <w:t>中和镇中和村10、11组</w:t>
            </w:r>
          </w:p>
        </w:tc>
        <w:tc>
          <w:tcPr>
            <w:tcW w:w="1134" w:type="dxa"/>
            <w:vAlign w:val="center"/>
          </w:tcPr>
          <w:p>
            <w:pPr>
              <w:spacing w:line="320" w:lineRule="exact"/>
              <w:jc w:val="both"/>
              <w:rPr>
                <w:rFonts w:hint="default" w:ascii="Times New Roman" w:hAnsi="Times New Roman" w:eastAsia="方正仿宋_GBK"/>
                <w:spacing w:val="-16"/>
                <w:sz w:val="24"/>
                <w:highlight w:val="none"/>
                <w:lang w:val="en-US" w:eastAsia="zh-CN"/>
              </w:rPr>
            </w:pPr>
            <w:r>
              <w:rPr>
                <w:rFonts w:hint="eastAsia" w:ascii="Times New Roman" w:hAnsi="Times New Roman" w:eastAsia="方正仿宋_GBK"/>
                <w:spacing w:val="-16"/>
                <w:sz w:val="24"/>
                <w:highlight w:val="none"/>
                <w:lang w:val="en-US" w:eastAsia="zh-CN"/>
              </w:rPr>
              <w:t>9146.45</w:t>
            </w:r>
          </w:p>
        </w:tc>
        <w:tc>
          <w:tcPr>
            <w:tcW w:w="1134" w:type="dxa"/>
            <w:vAlign w:val="center"/>
          </w:tcPr>
          <w:p>
            <w:pPr>
              <w:spacing w:line="320" w:lineRule="exact"/>
              <w:jc w:val="center"/>
              <w:rPr>
                <w:rFonts w:hint="eastAsia" w:ascii="Times New Roman" w:hAnsi="Times New Roman" w:eastAsia="方正仿宋_GBK"/>
                <w:sz w:val="24"/>
                <w:highlight w:val="none"/>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≥1.0</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180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hint="default" w:ascii="Times New Roman" w:hAnsi="Times New Roman" w:eastAsia="方正仿宋_GBK" w:cstheme="minorBidi"/>
                <w:kern w:val="2"/>
                <w:sz w:val="24"/>
                <w:szCs w:val="24"/>
                <w:highlight w:val="none"/>
                <w:lang w:val="en-US" w:eastAsia="zh-CN" w:bidi="ar-SA"/>
              </w:rPr>
            </w:pPr>
            <w:r>
              <w:rPr>
                <w:rFonts w:hint="eastAsia" w:ascii="Times New Roman" w:hAnsi="Times New Roman" w:eastAsia="方正仿宋_GBK"/>
                <w:sz w:val="24"/>
                <w:highlight w:val="none"/>
                <w:lang w:val="en-US" w:eastAsia="zh-CN"/>
              </w:rPr>
              <w:t>ZH-2-10-1</w:t>
            </w:r>
          </w:p>
        </w:tc>
        <w:tc>
          <w:tcPr>
            <w:tcW w:w="1187" w:type="dxa"/>
            <w:vAlign w:val="center"/>
          </w:tcPr>
          <w:p>
            <w:pPr>
              <w:spacing w:line="320" w:lineRule="exact"/>
              <w:jc w:val="center"/>
              <w:rPr>
                <w:rFonts w:hint="eastAsia" w:ascii="Times New Roman" w:hAnsi="Times New Roman" w:eastAsia="方正仿宋_GBK" w:cstheme="minorBidi"/>
                <w:kern w:val="2"/>
                <w:sz w:val="21"/>
                <w:szCs w:val="21"/>
                <w:highlight w:val="none"/>
                <w:lang w:val="en-US" w:eastAsia="zh-CN" w:bidi="ar-SA"/>
              </w:rPr>
            </w:pPr>
            <w:r>
              <w:rPr>
                <w:rFonts w:hint="eastAsia" w:ascii="Times New Roman" w:hAnsi="Times New Roman" w:eastAsia="方正仿宋_GBK" w:cs="Times New Roman"/>
                <w:sz w:val="24"/>
                <w:highlight w:val="none"/>
                <w:u w:val="none"/>
                <w:lang w:val="en-US" w:eastAsia="zh-CN"/>
              </w:rPr>
              <w:t>中和镇中和村3、4、5组</w:t>
            </w:r>
          </w:p>
        </w:tc>
        <w:tc>
          <w:tcPr>
            <w:tcW w:w="1134" w:type="dxa"/>
            <w:vAlign w:val="center"/>
          </w:tcPr>
          <w:p>
            <w:pPr>
              <w:spacing w:line="320" w:lineRule="exact"/>
              <w:jc w:val="both"/>
              <w:rPr>
                <w:rFonts w:hint="eastAsia" w:ascii="Times New Roman" w:hAnsi="Times New Roman" w:eastAsia="方正仿宋_GBK" w:cstheme="minorBidi"/>
                <w:spacing w:val="-16"/>
                <w:kern w:val="2"/>
                <w:sz w:val="24"/>
                <w:szCs w:val="24"/>
                <w:highlight w:val="none"/>
                <w:lang w:val="en-US" w:eastAsia="zh-CN" w:bidi="ar-SA"/>
              </w:rPr>
            </w:pPr>
            <w:r>
              <w:rPr>
                <w:rFonts w:hint="eastAsia" w:ascii="Times New Roman" w:hAnsi="Times New Roman" w:eastAsia="方正仿宋_GBK"/>
                <w:spacing w:val="-16"/>
                <w:sz w:val="24"/>
                <w:highlight w:val="none"/>
                <w:lang w:val="en-US" w:eastAsia="zh-CN"/>
              </w:rPr>
              <w:t>12009.1</w:t>
            </w:r>
          </w:p>
        </w:tc>
        <w:tc>
          <w:tcPr>
            <w:tcW w:w="1134" w:type="dxa"/>
            <w:vAlign w:val="center"/>
          </w:tcPr>
          <w:p>
            <w:pPr>
              <w:spacing w:line="320" w:lineRule="exact"/>
              <w:jc w:val="center"/>
              <w:rPr>
                <w:rFonts w:hint="eastAsia" w:ascii="Times New Roman" w:hAnsi="Times New Roman" w:eastAsia="方正仿宋_GBK" w:cstheme="minorBidi"/>
                <w:kern w:val="2"/>
                <w:sz w:val="24"/>
                <w:szCs w:val="24"/>
                <w:highlight w:val="none"/>
                <w:lang w:val="en-US" w:eastAsia="zh-CN" w:bidi="ar-SA"/>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≥1.0</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lang w:val="en-US" w:eastAsia="zh-CN"/>
              </w:rPr>
              <w:t>236</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lang w:val="en-US" w:eastAsia="zh-CN"/>
              </w:rPr>
              <w:t>118</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21</w:t>
      </w:r>
      <w:r>
        <w:rPr>
          <w:rFonts w:ascii="Times New Roman" w:hAnsi="Times New Roman" w:eastAsia="方正仿宋_GBK" w:cs="Times New Roman"/>
          <w:sz w:val="32"/>
          <w:szCs w:val="32"/>
          <w:highlight w:val="none"/>
          <w:u w:val="single"/>
        </w:rPr>
        <w:t>日16 时</w:t>
      </w:r>
      <w:r>
        <w:rPr>
          <w:rFonts w:ascii="Times New Roman" w:hAnsi="Times New Roman" w:eastAsia="方正仿宋_GBK" w:cs="Times New Roman"/>
          <w:sz w:val="32"/>
          <w:szCs w:val="32"/>
          <w:highlight w:val="none"/>
        </w:rPr>
        <w:t>止（以竞买保证金到账时间为准），具体的银行账户详见挂牌出让文件。</w:t>
      </w:r>
    </w:p>
    <w:p>
      <w:pPr>
        <w:pStyle w:val="13"/>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8</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25</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9</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21</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3"/>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21</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14</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23</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u w:val="single"/>
          <w:lang w:eastAsia="zh-CN"/>
        </w:rPr>
        <w:t>并持</w:t>
      </w:r>
      <w:r>
        <w:rPr>
          <w:rFonts w:hint="eastAsia" w:ascii="Times New Roman" w:hAnsi="Times New Roman" w:eastAsia="方正仿宋_GBK" w:cs="Times New Roman"/>
          <w:color w:val="000000" w:themeColor="text1"/>
          <w:sz w:val="32"/>
          <w:szCs w:val="32"/>
          <w:highlight w:val="none"/>
          <w:u w:val="single"/>
          <w:lang w:val="en-US" w:eastAsia="zh-CN"/>
        </w:rPr>
        <w:t>48小时内核酸阴性报告</w:t>
      </w:r>
      <w:r>
        <w:rPr>
          <w:rFonts w:ascii="Times New Roman" w:hAnsi="Times New Roman" w:eastAsia="方正仿宋_GBK" w:cs="Times New Roman"/>
          <w:color w:val="000000" w:themeColor="text1"/>
          <w:sz w:val="32"/>
          <w:szCs w:val="32"/>
          <w:highlight w:val="none"/>
          <w:u w:val="single"/>
        </w:rPr>
        <w:t>进入资阳市公共资源交易服务中心</w:t>
      </w:r>
      <w:r>
        <w:rPr>
          <w:rFonts w:ascii="Times New Roman" w:hAnsi="Times New Roman" w:eastAsia="方正仿宋_GBK" w:cs="Times New Roman"/>
          <w:color w:val="000000" w:themeColor="text1"/>
          <w:sz w:val="32"/>
          <w:szCs w:val="32"/>
          <w:highlight w:val="none"/>
        </w:rPr>
        <w:t>，并配合现场工作人员测量体温、消毒等工作，14天内有可疑患者接触史、有咳嗽发热等症状的人员不得进入交易现场。</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邱</w:t>
      </w:r>
      <w:r>
        <w:rPr>
          <w:rFonts w:hint="eastAsia" w:ascii="Times New Roman" w:hAnsi="Times New Roman" w:eastAsia="方正仿宋_GBK" w:cs="Times New Roman"/>
          <w:color w:val="000000" w:themeColor="text1"/>
          <w:sz w:val="32"/>
          <w:szCs w:val="32"/>
          <w:highlight w:val="none"/>
        </w:rPr>
        <w:t>女士；联系电话：028-26613787。</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rPr>
        <w:t>汪女士</w:t>
      </w:r>
      <w:r>
        <w:rPr>
          <w:rFonts w:hint="eastAsia" w:ascii="Times New Roman" w:hAnsi="Times New Roman" w:eastAsia="方正仿宋_GBK" w:cs="Times New Roman"/>
          <w:color w:val="000000"/>
          <w:sz w:val="32"/>
          <w:szCs w:val="32"/>
          <w:highlight w:val="none"/>
        </w:rPr>
        <w:t>；咨询电话：</w:t>
      </w:r>
      <w:r>
        <w:rPr>
          <w:rFonts w:hint="eastAsia" w:ascii="Times New Roman" w:hAnsi="Times New Roman" w:eastAsia="方正仿宋_GBK" w:cs="Times New Roman"/>
          <w:color w:val="000000"/>
          <w:sz w:val="32"/>
          <w:szCs w:val="32"/>
          <w:highlight w:val="none"/>
          <w:lang w:val="en-US" w:eastAsia="zh-CN"/>
        </w:rPr>
        <w:t>028-26010004，</w:t>
      </w:r>
      <w:r>
        <w:rPr>
          <w:rFonts w:hint="eastAsia" w:ascii="Times New Roman" w:hAnsi="Times New Roman" w:eastAsia="方正仿宋_GBK" w:cs="Times New Roman"/>
          <w:color w:val="000000" w:themeColor="text1"/>
          <w:sz w:val="32"/>
          <w:szCs w:val="32"/>
          <w:highlight w:val="none"/>
        </w:rPr>
        <w:t>13882976858</w:t>
      </w:r>
      <w:r>
        <w:rPr>
          <w:rFonts w:hint="eastAsia" w:ascii="Times New Roman" w:hAnsi="Times New Roman" w:eastAsia="方正仿宋_GBK" w:cs="Times New Roman"/>
          <w:color w:val="000000" w:themeColor="text1"/>
          <w:sz w:val="32"/>
          <w:szCs w:val="32"/>
          <w:highlight w:val="none"/>
          <w:lang w:eastAsia="zh-CN"/>
        </w:rPr>
        <w:t>。</w:t>
      </w:r>
    </w:p>
    <w:p>
      <w:pPr>
        <w:pStyle w:val="20"/>
        <w:spacing w:line="540" w:lineRule="exact"/>
        <w:ind w:firstLine="210"/>
        <w:rPr>
          <w:highlight w:val="none"/>
        </w:rPr>
      </w:pPr>
    </w:p>
    <w:p>
      <w:pPr>
        <w:pStyle w:val="20"/>
        <w:spacing w:line="540" w:lineRule="exact"/>
        <w:ind w:firstLine="21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25</w:t>
      </w:r>
      <w:r>
        <w:rPr>
          <w:rFonts w:ascii="Times New Roman" w:hAnsi="Times New Roman" w:eastAsia="方正仿宋_GBK" w:cs="Times New Roman"/>
          <w:color w:val="000000" w:themeColor="text1"/>
          <w:sz w:val="32"/>
          <w:szCs w:val="32"/>
          <w:highlight w:val="none"/>
        </w:rPr>
        <w:t>日</w:t>
      </w:r>
      <w:r>
        <w:rPr>
          <w:rFonts w:ascii="Times New Roman" w:hAnsi="Times New Roman" w:eastAsia="微软雅黑" w:cs="Times New Roman"/>
          <w:sz w:val="44"/>
          <w:szCs w:val="44"/>
          <w:highlight w:val="none"/>
        </w:rPr>
        <w:br w:type="page"/>
      </w:r>
    </w:p>
    <w:p>
      <w:pPr>
        <w:spacing w:line="600" w:lineRule="exact"/>
        <w:jc w:val="center"/>
        <w:rPr>
          <w:rFonts w:ascii="Times New Roman" w:hAnsi="Times New Roman" w:eastAsia="微软雅黑" w:cs="Times New Roman"/>
          <w:sz w:val="44"/>
          <w:szCs w:val="44"/>
          <w:highlight w:val="none"/>
        </w:rPr>
      </w:pPr>
    </w:p>
    <w:p>
      <w:pPr>
        <w:spacing w:line="600" w:lineRule="exact"/>
        <w:jc w:val="center"/>
        <w:rPr>
          <w:rFonts w:ascii="Times New Roman" w:hAnsi="Times New Roman" w:eastAsia="微软雅黑" w:cs="Times New Roman"/>
          <w:sz w:val="44"/>
          <w:szCs w:val="44"/>
          <w:highlight w:val="none"/>
        </w:rPr>
      </w:pP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lang w:eastAsia="zh-CN"/>
        </w:rPr>
        <w:t>中和镇中和村</w:t>
      </w:r>
      <w:r>
        <w:rPr>
          <w:rFonts w:hint="eastAsia" w:ascii="Times New Roman" w:hAnsi="Times New Roman" w:eastAsia="方正仿宋_GBK"/>
          <w:sz w:val="32"/>
          <w:szCs w:val="32"/>
          <w:highlight w:val="none"/>
          <w:u w:val="single"/>
          <w:lang w:val="en-US" w:eastAsia="zh-CN"/>
        </w:rPr>
        <w:t>10、11组</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2"/>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ind w:left="0" w:leftChars="0" w:firstLine="0" w:firstLineChars="0"/>
        <w:rPr>
          <w:highlight w:val="none"/>
        </w:rPr>
      </w:pPr>
    </w:p>
    <w:p>
      <w:pPr>
        <w:widowControl/>
        <w:numPr>
          <w:ilvl w:val="0"/>
          <w:numId w:val="1"/>
        </w:numPr>
        <w:spacing w:line="600" w:lineRule="exact"/>
        <w:ind w:left="0" w:leftChars="0" w:firstLine="643" w:firstLineChars="200"/>
        <w:rPr>
          <w:rFonts w:hint="eastAsia" w:ascii="Times New Roman" w:hAnsi="Times New Roman" w:eastAsia="方正黑体_GBK" w:cs="Times New Roman"/>
          <w:b/>
          <w:sz w:val="32"/>
          <w:szCs w:val="32"/>
          <w:highlight w:val="none"/>
        </w:rPr>
      </w:pPr>
      <w:r>
        <w:rPr>
          <w:rFonts w:hint="eastAsia" w:ascii="Times New Roman" w:hAnsi="Times New Roman" w:eastAsia="方正黑体_GBK" w:cs="Times New Roman"/>
          <w:b/>
          <w:sz w:val="32"/>
          <w:szCs w:val="32"/>
          <w:highlight w:val="none"/>
          <w:lang w:val="en-US" w:eastAsia="zh-CN"/>
        </w:rPr>
        <w:t>ZH-6-11-3</w:t>
      </w:r>
      <w:r>
        <w:rPr>
          <w:rFonts w:hint="eastAsia" w:ascii="Times New Roman" w:hAnsi="Times New Roman" w:eastAsia="方正黑体_GBK" w:cs="Times New Roman"/>
          <w:b/>
          <w:sz w:val="32"/>
          <w:szCs w:val="32"/>
          <w:highlight w:val="none"/>
        </w:rPr>
        <w:t>号地块国有建设用地使用权挂牌出让方案</w:t>
      </w:r>
    </w:p>
    <w:tbl>
      <w:tblPr>
        <w:tblStyle w:val="14"/>
        <w:tblpPr w:leftFromText="180" w:rightFromText="180" w:vertAnchor="text" w:horzAnchor="page" w:tblpX="1477" w:tblpY="276"/>
        <w:tblOverlap w:val="never"/>
        <w:tblW w:w="925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 w:type="dxa"/>
          <w:bottom w:w="0" w:type="dxa"/>
          <w:right w:w="10" w:type="dxa"/>
        </w:tblCellMar>
      </w:tblPr>
      <w:tblGrid>
        <w:gridCol w:w="1466"/>
        <w:gridCol w:w="972"/>
        <w:gridCol w:w="68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8"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出让人</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资阳市自然资源和规划局。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8"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土地座落</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中和镇中和村10、11组。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8"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出让界址</w:t>
            </w:r>
          </w:p>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及空间范围</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宗地四至界线以勘测定界图为准，竖向界限应结合宗地周边路网高程在审查建筑方案时另行确定。出让的空间范围为地表国有建设用地使用权。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8"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土地用途</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二类工业用地。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9"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出让年限</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工业用地50年。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9"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出让面积</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9146.45平方米（约13.72亩）。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75"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主要规划指标及要求</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容积率≥1.0；建筑密度≥30%；绿地率≤20%；建筑高度≤16米。其它要求详见《资阳市雁江区自然资源和规划局关于雁江区中和镇〔ZH-6-11-3〕号地块规划条件的函》（资雁资源函〔2022〕100号）。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8"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挂牌起始价及增价幅度</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该地块起始价参照评估结果确定为180万元（取整），增价幅度为10万元/次或该增价幅度的整数倍。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8"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竞买保证金</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90万元（按起始价50%确定）。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9"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竞买人资格</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9"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出让方式</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无底价挂牌。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47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出让合同签订</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确定竞得人后，出让人与竞得人应当场签订《成交确认书》，竞得人须在竞得土地10个工作日内与资阳市自然资源和规划局签订《国有建设用地使用权出让合同》。竞得人逾期未签订《国有建设用地使用权出让合同》的，视为竞得人放弃竞得资格，出让人可取消其竞得资格，竞得人缴纳的竞买保证金转作的定金及已缴纳的地产交易手续费均不予退还。造成出让人损失的，竞得人还应依法承担相应的法律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85" w:hRule="atLeast"/>
        </w:trPr>
        <w:tc>
          <w:tcPr>
            <w:tcW w:w="1466" w:type="dxa"/>
            <w:vMerge w:val="restart"/>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出让价款支付时间、金额及违约责任</w:t>
            </w:r>
          </w:p>
        </w:tc>
        <w:tc>
          <w:tcPr>
            <w:tcW w:w="972"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第一期</w:t>
            </w:r>
          </w:p>
        </w:tc>
        <w:tc>
          <w:tcPr>
            <w:tcW w:w="6813"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签订《国有建设用地使用权出让合同》之日起</w:t>
            </w:r>
            <w:r>
              <w:rPr>
                <w:rFonts w:hint="eastAsia" w:ascii="等线" w:hAnsi="等线" w:eastAsia="方正仿宋_GBK" w:cs="Times New Roman"/>
                <w:color w:val="000000"/>
                <w:sz w:val="24"/>
                <w:highlight w:val="none"/>
                <w:lang w:val="en-US" w:eastAsia="zh-CN"/>
              </w:rPr>
              <w:t>1个月</w:t>
            </w:r>
            <w:r>
              <w:rPr>
                <w:rFonts w:hint="default" w:ascii="等线" w:hAnsi="等线" w:eastAsia="方正仿宋_GBK" w:cs="Times New Roman"/>
                <w:color w:val="000000"/>
                <w:sz w:val="24"/>
                <w:highlight w:val="none"/>
                <w:lang w:val="en-US" w:eastAsia="zh-CN"/>
              </w:rPr>
              <w:t>内缴纳成交总价的50%。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015" w:hRule="atLeast"/>
        </w:trPr>
        <w:tc>
          <w:tcPr>
            <w:tcW w:w="1466" w:type="dxa"/>
            <w:vMerge w:val="continue"/>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p>
        </w:tc>
        <w:tc>
          <w:tcPr>
            <w:tcW w:w="972"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第二期</w:t>
            </w:r>
          </w:p>
        </w:tc>
        <w:tc>
          <w:tcPr>
            <w:tcW w:w="6813"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签订《国有建设用地使用权出让合同》之日起1年内缴清（如缴款截止日逢双休日或法定节假日，可顺延缴款日期至双休日或法定节假日结束后的第一个工作日）。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015" w:hRule="atLeast"/>
        </w:trPr>
        <w:tc>
          <w:tcPr>
            <w:tcW w:w="1466" w:type="dxa"/>
            <w:vMerge w:val="continue"/>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p>
        </w:tc>
        <w:tc>
          <w:tcPr>
            <w:tcW w:w="972"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违约责任</w:t>
            </w:r>
          </w:p>
        </w:tc>
        <w:tc>
          <w:tcPr>
            <w:tcW w:w="6813"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受让人不能按时支付国有建设用地使用权出让价款的，自滞纳之日起，每日按迟延支付款项的1‰向出让人缴纳违约金，延期付款超过60日，经出让人催交后仍不能支付国有建设用地使用权出让价款（含延迟缴纳土地价款违约金及分期付款利息）的，出让人有权解除合同，受让人无权要求返还定金，出让人并可请求受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72"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土地价款解缴渠道</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资阳市雁江区税务局，竞得人可通过四川省电子税务局或到资阳市雁江区政务服务中心税务窗口缴纳。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72"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地下空间出让价款缴纳约定</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该地块在确立地下空间国有建设用地使用权时，需按相关政策规定另行缴纳地下空间国有建设用地使用权出让价款。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882"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土地交付及相关约定</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1. 受让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2. 若因受让人未按照《国有建设用地使用权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r>
              <w:rPr>
                <w:rFonts w:hint="default" w:ascii="等线" w:hAnsi="等线" w:eastAsia="方正仿宋_GBK" w:cs="Times New Roman"/>
                <w:color w:val="000000"/>
                <w:sz w:val="24"/>
                <w:highlight w:val="none"/>
                <w:lang w:val="en-US" w:eastAsia="zh-CN"/>
              </w:rPr>
              <w:br w:type="textWrapping"/>
            </w:r>
            <w:r>
              <w:rPr>
                <w:rFonts w:hint="default" w:ascii="等线" w:hAnsi="等线" w:eastAsia="方正仿宋_GBK" w:cs="Times New Roman"/>
                <w:color w:val="000000"/>
                <w:sz w:val="24"/>
                <w:highlight w:val="none"/>
                <w:lang w:val="en-US" w:eastAsia="zh-CN"/>
              </w:rPr>
              <w:t>3．受让人按《国有建设用地使用权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04"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开竣工时间及违约责任</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自《国有建设用地使用权出让合同》约定的土地交付之日起1年内开工建设，自开工之日起3年内竣工。未能按照合同约定日期开工、竣工的，按《闲置土地处置办法》的相关规定办理。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967" w:hRule="atLeast"/>
        </w:trPr>
        <w:tc>
          <w:tcPr>
            <w:tcW w:w="1466"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其他约定事项</w:t>
            </w:r>
          </w:p>
        </w:tc>
        <w:tc>
          <w:tcPr>
            <w:tcW w:w="7785" w:type="dxa"/>
            <w:gridSpan w:val="2"/>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1</w:t>
            </w:r>
            <w:r>
              <w:rPr>
                <w:rFonts w:hint="default" w:ascii="等线" w:hAnsi="等线" w:eastAsia="方正仿宋_GBK" w:cs="Times New Roman"/>
                <w:color w:val="000000"/>
                <w:sz w:val="24"/>
                <w:highlight w:val="none"/>
                <w:lang w:val="en-US" w:eastAsia="zh-CN"/>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2</w:t>
            </w:r>
            <w:r>
              <w:rPr>
                <w:rFonts w:hint="default" w:ascii="等线" w:hAnsi="等线" w:eastAsia="方正仿宋_GBK" w:cs="Times New Roman"/>
                <w:color w:val="000000"/>
                <w:sz w:val="24"/>
                <w:highlight w:val="none"/>
                <w:lang w:val="en-US" w:eastAsia="zh-CN"/>
              </w:rPr>
              <w:t>.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3</w:t>
            </w:r>
            <w:r>
              <w:rPr>
                <w:rFonts w:hint="default" w:ascii="等线" w:hAnsi="等线" w:eastAsia="方正仿宋_GBK" w:cs="Times New Roman"/>
                <w:color w:val="000000"/>
                <w:sz w:val="24"/>
                <w:highlight w:val="none"/>
                <w:lang w:val="en-US" w:eastAsia="zh-CN"/>
              </w:rPr>
              <w:t>.该地块挂牌成交后，竞得人在开发建设时若对地块范围外的土壤或山体造成破坏的，须负责对破坏的土壤或山体进行治理和恢复。</w:t>
            </w:r>
          </w:p>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4</w:t>
            </w:r>
            <w:r>
              <w:rPr>
                <w:rFonts w:hint="default" w:ascii="等线" w:hAnsi="等线" w:eastAsia="方正仿宋_GBK" w:cs="Times New Roman"/>
                <w:color w:val="000000"/>
                <w:sz w:val="24"/>
                <w:highlight w:val="none"/>
                <w:lang w:val="en-US" w:eastAsia="zh-CN"/>
              </w:rPr>
              <w:t>.挂牌成交后，竞得人须自行出资开展成交地块地质灾害危险性评估工作，自行到发改、环保、水利、住建等部门办理立项（备案）、环评、水保、建设等相关具体手续。</w:t>
            </w:r>
          </w:p>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5</w:t>
            </w:r>
            <w:r>
              <w:rPr>
                <w:rFonts w:hint="default" w:ascii="等线" w:hAnsi="等线" w:eastAsia="方正仿宋_GBK" w:cs="Times New Roman"/>
                <w:color w:val="000000"/>
                <w:sz w:val="24"/>
                <w:highlight w:val="none"/>
                <w:lang w:val="en-US" w:eastAsia="zh-CN"/>
              </w:rPr>
              <w:t>.挂牌成交后，竞得人交纳的竞买保证金按总成交价款的20%（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r>
              <w:rPr>
                <w:rFonts w:hint="default" w:ascii="等线" w:hAnsi="等线" w:eastAsia="方正仿宋_GBK" w:cs="Times New Roman"/>
                <w:color w:val="000000"/>
                <w:sz w:val="24"/>
                <w:highlight w:val="none"/>
                <w:lang w:val="en-US" w:eastAsia="zh-CN"/>
              </w:rPr>
              <w:br w:type="textWrapping"/>
            </w:r>
            <w:r>
              <w:rPr>
                <w:rFonts w:hint="eastAsia" w:ascii="等线" w:hAnsi="等线" w:eastAsia="方正仿宋_GBK" w:cs="Times New Roman"/>
                <w:color w:val="000000"/>
                <w:sz w:val="24"/>
                <w:highlight w:val="none"/>
                <w:lang w:val="en-US" w:eastAsia="zh-CN"/>
              </w:rPr>
              <w:t>6</w:t>
            </w:r>
            <w:r>
              <w:rPr>
                <w:rFonts w:hint="default" w:ascii="等线" w:hAnsi="等线" w:eastAsia="方正仿宋_GBK" w:cs="Times New Roman"/>
                <w:color w:val="000000"/>
                <w:sz w:val="24"/>
                <w:highlight w:val="none"/>
                <w:lang w:val="en-US" w:eastAsia="zh-CN"/>
              </w:rPr>
              <w:t>.该地块挂牌成交后，竞得人需在成交后10个工作日内到资阳市土地矿产交易中心另行缴纳地产交易手续费，按照川价发〔2006〕229号文件规定，地产交易手续费按照该地块成交总价款的1%收取。</w:t>
            </w:r>
          </w:p>
        </w:tc>
      </w:tr>
    </w:tbl>
    <w:p>
      <w:pPr>
        <w:pStyle w:val="2"/>
        <w:numPr>
          <w:ilvl w:val="0"/>
          <w:numId w:val="0"/>
        </w:numPr>
        <w:ind w:leftChars="200"/>
        <w:rPr>
          <w:rFonts w:hint="eastAsia"/>
          <w:highlight w:val="none"/>
        </w:rPr>
      </w:pPr>
    </w:p>
    <w:p>
      <w:pPr>
        <w:numPr>
          <w:ilvl w:val="0"/>
          <w:numId w:val="0"/>
        </w:numPr>
        <w:adjustRightInd w:val="0"/>
        <w:snapToGrid w:val="0"/>
        <w:spacing w:line="62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lang w:val="en-US" w:eastAsia="zh-CN"/>
        </w:rPr>
        <w:t>90</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9</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21</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竞买人应在转款凭证上备注</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7.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2</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3</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建设项目竣工申报书（样本）</w:t>
      </w:r>
    </w:p>
    <w:p>
      <w:pPr>
        <w:spacing w:line="600" w:lineRule="exact"/>
        <w:ind w:firstLine="576" w:firstLineChars="200"/>
        <w:rPr>
          <w:rFonts w:hint="default" w:ascii="Times New Roman" w:hAnsi="Times New Roman" w:eastAsia="方正仿宋_GBK" w:cs="Times New Roman"/>
          <w:spacing w:val="-16"/>
          <w:sz w:val="32"/>
          <w:szCs w:val="32"/>
          <w:highlight w:val="none"/>
          <w:lang w:val="en-US" w:eastAsia="zh-CN"/>
        </w:rPr>
      </w:pPr>
      <w:r>
        <w:rPr>
          <w:rFonts w:hint="eastAsia" w:ascii="Times New Roman" w:hAnsi="Times New Roman" w:eastAsia="方正仿宋_GBK" w:cs="Times New Roman"/>
          <w:spacing w:val="-16"/>
          <w:sz w:val="32"/>
          <w:szCs w:val="32"/>
          <w:highlight w:val="none"/>
          <w:lang w:val="en-US" w:eastAsia="zh-CN"/>
        </w:rPr>
        <w:t>15. 交地申请（样本）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8</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25</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9</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21</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pStyle w:val="2"/>
        <w:rPr>
          <w:rFonts w:ascii="Times New Roman" w:hAnsi="Times New Roman" w:eastAsia="方正仿宋_GBK" w:cs="Times New Roman"/>
          <w:color w:val="000000" w:themeColor="text1"/>
          <w:sz w:val="32"/>
          <w:szCs w:val="32"/>
          <w:highlight w:val="none"/>
        </w:rPr>
      </w:pPr>
    </w:p>
    <w:p>
      <w:pPr>
        <w:rPr>
          <w:highlight w:val="none"/>
        </w:rPr>
      </w:pP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9</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21</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17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14</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9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23</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25</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20"/>
        <w:ind w:firstLine="210"/>
        <w:rPr>
          <w:rFonts w:ascii="Times New Roman" w:hAnsi="Times New Roman" w:eastAsia="方正小标宋简体" w:cs="宋体"/>
          <w:color w:val="000000"/>
          <w:szCs w:val="32"/>
          <w:highlight w:val="none"/>
        </w:rPr>
      </w:pPr>
      <w:r>
        <w:rPr>
          <w:rFonts w:hint="eastAsia"/>
          <w:highlight w:val="none"/>
        </w:rPr>
        <w:t xml:space="preserve">  </w:t>
      </w: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r>
        <w:rPr>
          <w:highlight w:val="none"/>
        </w:rPr>
        <w:drawing>
          <wp:anchor distT="0" distB="0" distL="114300" distR="114300" simplePos="0" relativeHeight="251671552" behindDoc="0" locked="0" layoutInCell="1" allowOverlap="1">
            <wp:simplePos x="0" y="0"/>
            <wp:positionH relativeFrom="column">
              <wp:posOffset>16510</wp:posOffset>
            </wp:positionH>
            <wp:positionV relativeFrom="paragraph">
              <wp:posOffset>-587375</wp:posOffset>
            </wp:positionV>
            <wp:extent cx="5612130" cy="7936865"/>
            <wp:effectExtent l="0" t="0" r="11430" b="3175"/>
            <wp:wrapSquare wrapText="bothSides"/>
            <wp:docPr id="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2"/>
                    <pic:cNvPicPr>
                      <a:picLocks noChangeAspect="1"/>
                    </pic:cNvPicPr>
                  </pic:nvPicPr>
                  <pic:blipFill>
                    <a:blip r:embed="rId9"/>
                    <a:stretch>
                      <a:fillRect/>
                    </a:stretch>
                  </pic:blipFill>
                  <pic:spPr>
                    <a:xfrm>
                      <a:off x="0" y="0"/>
                      <a:ext cx="5612130" cy="7936865"/>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2576" behindDoc="0" locked="0" layoutInCell="1" allowOverlap="1">
            <wp:simplePos x="0" y="0"/>
            <wp:positionH relativeFrom="column">
              <wp:posOffset>123825</wp:posOffset>
            </wp:positionH>
            <wp:positionV relativeFrom="paragraph">
              <wp:posOffset>168275</wp:posOffset>
            </wp:positionV>
            <wp:extent cx="5608320" cy="7383145"/>
            <wp:effectExtent l="0" t="0" r="0" b="8255"/>
            <wp:wrapSquare wrapText="bothSides"/>
            <wp:docPr id="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3"/>
                    <pic:cNvPicPr>
                      <a:picLocks noChangeAspect="1"/>
                    </pic:cNvPicPr>
                  </pic:nvPicPr>
                  <pic:blipFill>
                    <a:blip r:embed="rId10"/>
                    <a:stretch>
                      <a:fillRect/>
                    </a:stretch>
                  </pic:blipFill>
                  <pic:spPr>
                    <a:xfrm>
                      <a:off x="0" y="0"/>
                      <a:ext cx="5608320" cy="7383145"/>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3600" behindDoc="0" locked="0" layoutInCell="1" allowOverlap="1">
            <wp:simplePos x="0" y="0"/>
            <wp:positionH relativeFrom="column">
              <wp:posOffset>-161925</wp:posOffset>
            </wp:positionH>
            <wp:positionV relativeFrom="paragraph">
              <wp:posOffset>106045</wp:posOffset>
            </wp:positionV>
            <wp:extent cx="5608320" cy="7943850"/>
            <wp:effectExtent l="0" t="0" r="0" b="11430"/>
            <wp:wrapSquare wrapText="bothSides"/>
            <wp:docPr id="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4"/>
                    <pic:cNvPicPr>
                      <a:picLocks noChangeAspect="1"/>
                    </pic:cNvPicPr>
                  </pic:nvPicPr>
                  <pic:blipFill>
                    <a:blip r:embed="rId11"/>
                    <a:stretch>
                      <a:fillRect/>
                    </a:stretch>
                  </pic:blipFill>
                  <pic:spPr>
                    <a:xfrm>
                      <a:off x="0" y="0"/>
                      <a:ext cx="5608320" cy="7943850"/>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4624" behindDoc="0" locked="0" layoutInCell="1" allowOverlap="1">
            <wp:simplePos x="0" y="0"/>
            <wp:positionH relativeFrom="column">
              <wp:posOffset>-38100</wp:posOffset>
            </wp:positionH>
            <wp:positionV relativeFrom="paragraph">
              <wp:posOffset>-250825</wp:posOffset>
            </wp:positionV>
            <wp:extent cx="5608320" cy="7934960"/>
            <wp:effectExtent l="0" t="0" r="0" b="5080"/>
            <wp:wrapSquare wrapText="bothSides"/>
            <wp:docPr id="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5"/>
                    <pic:cNvPicPr>
                      <a:picLocks noChangeAspect="1"/>
                    </pic:cNvPicPr>
                  </pic:nvPicPr>
                  <pic:blipFill>
                    <a:blip r:embed="rId12"/>
                    <a:stretch>
                      <a:fillRect/>
                    </a:stretch>
                  </pic:blipFill>
                  <pic:spPr>
                    <a:xfrm>
                      <a:off x="0" y="0"/>
                      <a:ext cx="5608320" cy="7934960"/>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5648" behindDoc="0" locked="0" layoutInCell="1" allowOverlap="1">
            <wp:simplePos x="0" y="0"/>
            <wp:positionH relativeFrom="column">
              <wp:posOffset>-123825</wp:posOffset>
            </wp:positionH>
            <wp:positionV relativeFrom="paragraph">
              <wp:posOffset>258445</wp:posOffset>
            </wp:positionV>
            <wp:extent cx="5608320" cy="7934960"/>
            <wp:effectExtent l="0" t="0" r="0" b="5080"/>
            <wp:wrapSquare wrapText="bothSides"/>
            <wp:docPr id="1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6"/>
                    <pic:cNvPicPr>
                      <a:picLocks noChangeAspect="1"/>
                    </pic:cNvPicPr>
                  </pic:nvPicPr>
                  <pic:blipFill>
                    <a:blip r:embed="rId13"/>
                    <a:stretch>
                      <a:fillRect/>
                    </a:stretch>
                  </pic:blipFill>
                  <pic:spPr>
                    <a:xfrm>
                      <a:off x="0" y="0"/>
                      <a:ext cx="5608320" cy="7934960"/>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6672" behindDoc="0" locked="0" layoutInCell="1" allowOverlap="1">
            <wp:simplePos x="0" y="0"/>
            <wp:positionH relativeFrom="column">
              <wp:posOffset>133350</wp:posOffset>
            </wp:positionH>
            <wp:positionV relativeFrom="paragraph">
              <wp:posOffset>248920</wp:posOffset>
            </wp:positionV>
            <wp:extent cx="5608320" cy="7934960"/>
            <wp:effectExtent l="0" t="0" r="0" b="5080"/>
            <wp:wrapSquare wrapText="bothSides"/>
            <wp:docPr id="11"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7"/>
                    <pic:cNvPicPr>
                      <a:picLocks noChangeAspect="1"/>
                    </pic:cNvPicPr>
                  </pic:nvPicPr>
                  <pic:blipFill>
                    <a:blip r:embed="rId14"/>
                    <a:stretch>
                      <a:fillRect/>
                    </a:stretch>
                  </pic:blipFill>
                  <pic:spPr>
                    <a:xfrm>
                      <a:off x="0" y="0"/>
                      <a:ext cx="5608320" cy="7934960"/>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ZH-6-11-3</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14</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23</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ZH-6-11-3</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90</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fldChar w:fldCharType="begin"/>
      </w:r>
      <w:r>
        <w:rPr>
          <w:rFonts w:hint="eastAsia" w:ascii="Times New Roman" w:hAnsi="Times New Roman" w:eastAsia="方正仿宋简体" w:cs="Times New Roman"/>
          <w:sz w:val="32"/>
          <w:szCs w:val="32"/>
          <w:highlight w:val="none"/>
          <w:lang w:eastAsia="zh-CN"/>
        </w:rPr>
        <w:instrText xml:space="preserve"> = 550000 \* CHINESENUM4 \* MERGEFORMAT </w:instrText>
      </w:r>
      <w:r>
        <w:rPr>
          <w:rFonts w:hint="eastAsia" w:ascii="Times New Roman" w:hAnsi="Times New Roman" w:eastAsia="方正仿宋简体" w:cs="Times New Roman"/>
          <w:sz w:val="32"/>
          <w:szCs w:val="32"/>
          <w:highlight w:val="none"/>
          <w:lang w:eastAsia="zh-CN"/>
        </w:rPr>
        <w:fldChar w:fldCharType="separate"/>
      </w:r>
      <w:r>
        <w:rPr>
          <w:rFonts w:hint="eastAsia" w:ascii="Times New Roman" w:hAnsi="Times New Roman" w:eastAsia="方正仿宋简体" w:cs="Times New Roman"/>
          <w:sz w:val="32"/>
          <w:szCs w:val="32"/>
          <w:highlight w:val="none"/>
          <w:lang w:eastAsia="zh-CN"/>
        </w:rPr>
        <w:t>玖拾</w:t>
      </w:r>
      <w:r>
        <w:rPr>
          <w:rFonts w:ascii="Times New Roman" w:hAnsi="Times New Roman" w:eastAsia="方正仿宋简体" w:cs="Times New Roman"/>
          <w:sz w:val="32"/>
          <w:szCs w:val="32"/>
          <w:highlight w:val="none"/>
        </w:rPr>
        <w:t>万元整</w:t>
      </w:r>
      <w:r>
        <w:rPr>
          <w:rFonts w:hint="eastAsia" w:ascii="Times New Roman" w:hAnsi="Times New Roman" w:eastAsia="方正仿宋简体" w:cs="Times New Roman"/>
          <w:sz w:val="32"/>
          <w:szCs w:val="32"/>
          <w:highlight w:val="none"/>
          <w:lang w:eastAsia="zh-CN"/>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hint="eastAsia" w:ascii="黑体" w:eastAsia="黑体"/>
          <w:b/>
          <w:color w:val="000000"/>
          <w:sz w:val="44"/>
          <w:szCs w:val="44"/>
          <w:highlight w:val="none"/>
        </w:rPr>
      </w:pPr>
      <w:r>
        <w:rPr>
          <w:rFonts w:ascii="Times New Roman" w:hAnsi="Times New Roman" w:eastAsia="方正小标宋简体" w:cs="Times New Roman"/>
          <w:sz w:val="38"/>
          <w:highlight w:val="none"/>
        </w:rPr>
        <w:br w:type="page"/>
      </w: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2"/>
                <w:szCs w:val="32"/>
                <w:highlight w:val="none"/>
                <w:u w:val="single"/>
                <w:lang w:val="en-US" w:eastAsia="zh-CN"/>
              </w:rPr>
              <w:t>ZH-6-11-3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4"/>
        <w:tblW w:w="878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749"/>
        <w:gridCol w:w="1284"/>
        <w:gridCol w:w="2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5"/>
                <w:highlight w:val="none"/>
                <w:lang w:val="en-US" w:eastAsia="zh-CN" w:bidi="ar"/>
              </w:rPr>
              <w:t>资阳市出让国有建设用地使用权</w:t>
            </w:r>
            <w:r>
              <w:rPr>
                <w:rStyle w:val="36"/>
                <w:highlight w:val="none"/>
                <w:lang w:val="en-US" w:eastAsia="zh-CN" w:bidi="ar"/>
              </w:rPr>
              <w:br w:type="textWrapping"/>
            </w:r>
            <w:r>
              <w:rPr>
                <w:rStyle w:val="3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起叫（始）价</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成交价</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20" w:afterAutospacing="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拍卖成交总额</w:t>
            </w:r>
          </w:p>
        </w:tc>
        <w:tc>
          <w:tcPr>
            <w:tcW w:w="691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手续费</w:t>
            </w:r>
          </w:p>
        </w:tc>
        <w:tc>
          <w:tcPr>
            <w:tcW w:w="691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789"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0"/>
                <w:highlight w:val="none"/>
                <w:u w:val="single"/>
                <w:lang w:val="en-US" w:eastAsia="zh-CN" w:bidi="ar"/>
              </w:rPr>
              <w:t xml:space="preserve">     </w:t>
            </w:r>
            <w:r>
              <w:rPr>
                <w:rStyle w:val="37"/>
                <w:highlight w:val="none"/>
                <w:lang w:val="en-US" w:eastAsia="zh-CN" w:bidi="ar"/>
              </w:rPr>
              <w:t>年</w:t>
            </w:r>
            <w:r>
              <w:rPr>
                <w:rStyle w:val="30"/>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7"/>
                <w:highlight w:val="none"/>
                <w:lang w:val="en-US" w:eastAsia="zh-CN" w:bidi="ar"/>
              </w:rPr>
              <w:t>日之前另行缴纳地产交易手续费;并于</w:t>
            </w:r>
            <w:r>
              <w:rPr>
                <w:rStyle w:val="30"/>
                <w:highlight w:val="none"/>
                <w:u w:val="single"/>
                <w:lang w:val="en-US" w:eastAsia="zh-CN" w:bidi="ar"/>
              </w:rPr>
              <w:t xml:space="preserve">     </w:t>
            </w:r>
            <w:r>
              <w:rPr>
                <w:rStyle w:val="37"/>
                <w:highlight w:val="none"/>
                <w:lang w:val="en-US" w:eastAsia="zh-CN" w:bidi="ar"/>
              </w:rPr>
              <w:t>年</w:t>
            </w:r>
            <w:r>
              <w:rPr>
                <w:rStyle w:val="30"/>
                <w:highlight w:val="non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7"/>
                <w:highlight w:val="none"/>
                <w:lang w:val="en-US" w:eastAsia="zh-CN" w:bidi="ar"/>
              </w:rPr>
              <w:t>日之前持本《成交确认书》与出让人签订《国有建设用地使用权出让合同》。</w:t>
            </w:r>
            <w:r>
              <w:rPr>
                <w:rStyle w:val="37"/>
                <w:highlight w:val="none"/>
                <w:lang w:val="en-US" w:eastAsia="zh-CN" w:bidi="ar"/>
              </w:rPr>
              <w:br w:type="textWrapping"/>
            </w:r>
            <w:r>
              <w:rPr>
                <w:rStyle w:val="37"/>
                <w:highlight w:val="none"/>
                <w:lang w:val="en-US" w:eastAsia="zh-CN" w:bidi="ar"/>
              </w:rPr>
              <w:t xml:space="preserve">   2.《国有建设用地使用权出让合同》签订后，竞得人交纳的竞买保证金自动转作该地块的定金（按成交总价的20%取整），余下的竞买保证金自动转作受让地块的首期成交价款。</w:t>
            </w:r>
            <w:r>
              <w:rPr>
                <w:rStyle w:val="37"/>
                <w:highlight w:val="none"/>
                <w:lang w:val="en-US" w:eastAsia="zh-CN" w:bidi="ar"/>
              </w:rPr>
              <w:br w:type="textWrapping"/>
            </w:r>
            <w:r>
              <w:rPr>
                <w:rStyle w:val="37"/>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highlight w:val="none"/>
                <w:lang w:val="en-US" w:eastAsia="zh-CN" w:bidi="ar"/>
              </w:rPr>
              <w:br w:type="textWrapping"/>
            </w:r>
            <w:r>
              <w:rPr>
                <w:rStyle w:val="37"/>
                <w:highlight w:val="none"/>
                <w:lang w:val="en-US" w:eastAsia="zh-CN" w:bidi="ar"/>
              </w:rPr>
              <w:t xml:space="preserve">   4.本成交确认书经竞得人、资阳市政府政务服务和公共资源交易服务中心双方确认盖章后生效。</w:t>
            </w:r>
            <w:r>
              <w:rPr>
                <w:rStyle w:val="37"/>
                <w:highlight w:val="none"/>
                <w:lang w:val="en-US" w:eastAsia="zh-CN" w:bidi="ar"/>
              </w:rPr>
              <w:br w:type="textWrapping"/>
            </w:r>
            <w:r>
              <w:rPr>
                <w:rStyle w:val="37"/>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4"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749"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28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竞得人（授权委托代理人）</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签字：</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8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br w:type="page"/>
      </w: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ascii="Times New Roman" w:hAnsi="Times New Roman" w:eastAsia="方正仿宋_GBK" w:cs="Times New Roman"/>
          <w:sz w:val="32"/>
          <w:highlight w:val="none"/>
        </w:rPr>
      </w:pPr>
      <w:r>
        <w:rPr>
          <w:rFonts w:hint="eastAsia" w:ascii="仿宋" w:hAnsi="仿宋" w:eastAsia="仿宋" w:cs="仿宋"/>
          <w:sz w:val="32"/>
          <w:szCs w:val="32"/>
          <w:highlight w:val="none"/>
        </w:rPr>
        <w:t>年    月    日</w:t>
      </w:r>
    </w:p>
    <w:p>
      <w:pPr>
        <w:spacing w:line="4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shape id="_x0000_s2094" o:spid="_x0000_s2094" o:spt="100" style="position:absolute;left:0pt;margin-left:0pt;margin-top:0pt;height:50pt;width:50pt;visibility:hidden;z-index:251659264;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v:shape>
        </w:pict>
      </w:r>
      <w:r>
        <w:rPr>
          <w:rFonts w:ascii="Times New Roman" w:hAnsi="Times New Roman" w:eastAsia="方正仿宋_GBK" w:cs="Times New Roman"/>
          <w:sz w:val="32"/>
          <w:highlight w:val="none"/>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5"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电子监管号：　　　　　　　　　</w:t>
      </w:r>
    </w:p>
    <w:p>
      <w:pPr>
        <w:pStyle w:val="7"/>
        <w:outlineLvl w:val="0"/>
        <w:rPr>
          <w:rFonts w:ascii="Times New Roman" w:hAnsi="Times New Roman" w:eastAsia="方正仿宋_GBK" w:cs="Times New Roman"/>
          <w:sz w:val="32"/>
          <w:highlight w:val="none"/>
        </w:rPr>
      </w:pPr>
    </w:p>
    <w:p>
      <w:pPr>
        <w:pStyle w:val="7"/>
        <w:rPr>
          <w:rStyle w:val="27"/>
          <w:rFonts w:ascii="Times New Roman" w:hAnsi="Times New Roman" w:eastAsia="方正仿宋_GBK" w:cs="Times New Roman"/>
          <w:sz w:val="32"/>
          <w:highlight w:val="none"/>
        </w:rPr>
      </w:pPr>
    </w:p>
    <w:p>
      <w:pPr>
        <w:pStyle w:val="7"/>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2093" o:spid="_x0000_s2093" o:spt="1" style="position:absolute;left:0pt;margin-left:19.5pt;margin-top:31.2pt;height:62.4pt;width:304.5pt;z-index:-251653120;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v:textbox>
          </v:rect>
        </w:pict>
      </w:r>
    </w:p>
    <w:p>
      <w:pPr>
        <w:pStyle w:val="7"/>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2092" o:spid="_x0000_s2092" o:spt="1" style="position:absolute;left:0pt;margin-left:319.5pt;margin-top:11.85pt;height:58.95pt;width:48.75pt;z-index:-251652096;mso-width-relative:page;mso-height-relative:page;" fillcolor="#FFFFFF" filled="t"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on="t" color2="#FFFFFF" focussize="0,0"/>
            <v:stroke color="#FFFFFF" joinstyle="miter"/>
            <v:imagedata o:title=""/>
            <o:lock v:ext="edit" aspectratio="f"/>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highlight w:val="none"/>
        </w:rPr>
        <w:t xml:space="preserve">         </w:t>
      </w:r>
    </w:p>
    <w:p>
      <w:pPr>
        <w:pStyle w:val="7"/>
        <w:spacing w:line="500" w:lineRule="exact"/>
        <w:jc w:val="left"/>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合同编号：</w:t>
      </w:r>
      <w:r>
        <w:rPr>
          <w:rFonts w:ascii="Times New Roman" w:hAnsi="Times New Roman" w:eastAsia="方正仿宋_GBK" w:cs="Times New Roman"/>
          <w:sz w:val="32"/>
          <w:highlight w:val="none"/>
          <w:u w:val="single"/>
        </w:rPr>
        <w:t xml:space="preserve"> 　　　　</w:t>
      </w: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3"/>
        <w:spacing w:before="0" w:beforeAutospacing="0" w:after="0" w:afterAutospacing="0" w:line="600" w:lineRule="exact"/>
        <w:jc w:val="center"/>
        <w:rPr>
          <w:rFonts w:ascii="方正黑体_GBK" w:hAnsi="Times New Roman" w:eastAsia="方正黑体_GBK" w:cs="Times New Roman"/>
          <w:bCs/>
          <w:kern w:val="2"/>
          <w:sz w:val="32"/>
          <w:szCs w:val="32"/>
          <w:highlight w:val="none"/>
        </w:rPr>
      </w:pPr>
      <w:r>
        <w:rPr>
          <w:rFonts w:hint="eastAsia" w:ascii="方正黑体_GBK" w:hAnsi="方正仿宋_GBK" w:eastAsia="方正黑体_GBK" w:cs="方正仿宋_GBK"/>
          <w:bCs/>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hint="eastAsia" w:ascii="Times New Roman" w:hAnsi="Times New Roman" w:eastAsia="方正仿宋_GBK" w:cs="Times New Roman"/>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7"/>
        <w:ind w:firstLine="640" w:firstLineChars="200"/>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 总   则</w:t>
      </w:r>
    </w:p>
    <w:p>
      <w:pPr>
        <w:pStyle w:val="7"/>
        <w:spacing w:line="600" w:lineRule="exact"/>
        <w:jc w:val="center"/>
        <w:rPr>
          <w:rFonts w:ascii="Times New Roman" w:hAnsi="Times New Roman" w:eastAsia="方正仿宋_GBK" w:cs="Times New Roman"/>
          <w:sz w:val="32"/>
          <w:highlight w:val="none"/>
        </w:rPr>
      </w:pPr>
    </w:p>
    <w:p>
      <w:pPr>
        <w:pStyle w:val="13"/>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sz w:val="32"/>
          <w:szCs w:val="32"/>
          <w:highlight w:val="none"/>
        </w:rPr>
        <w:t>第一条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ascii="Times New Roman" w:hAnsi="Times New Roman" w:eastAsia="方正仿宋_GBK" w:cs="Times New Roman"/>
          <w:sz w:val="32"/>
          <w:szCs w:val="32"/>
          <w:highlight w:val="none"/>
        </w:rPr>
        <w:t>《中华人民共和国</w:t>
      </w:r>
      <w:r>
        <w:rPr>
          <w:rFonts w:hint="eastAsia" w:ascii="Times New Roman" w:hAnsi="Times New Roman" w:eastAsia="方正仿宋_GBK" w:cs="Times New Roman"/>
          <w:sz w:val="32"/>
          <w:szCs w:val="32"/>
          <w:highlight w:val="none"/>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第二条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highlight w:val="none"/>
        </w:rPr>
        <w:t xml:space="preserve">      </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第三条</w:t>
      </w:r>
      <w:r>
        <w:rPr>
          <w:rFonts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第二章 出让土地的交付与出让价款的缴纳</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第四条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本合同项下出让宗地编号为</w:t>
      </w:r>
      <w:r>
        <w:rPr>
          <w:rFonts w:hint="eastAsia" w:ascii="Times New Roman" w:hAnsi="Times New Roman" w:eastAsia="方正仿宋简体" w:cs="Times New Roman"/>
          <w:b/>
          <w:bCs/>
          <w:sz w:val="32"/>
          <w:highlight w:val="none"/>
          <w:u w:val="single"/>
          <w:lang w:val="en-US" w:eastAsia="zh-CN"/>
        </w:rPr>
        <w:t xml:space="preserve">      </w:t>
      </w:r>
      <w:r>
        <w:rPr>
          <w:rFonts w:hint="eastAsia" w:ascii="方正仿宋_GBK" w:hAnsi="方正仿宋_GBK" w:eastAsia="方正仿宋_GBK" w:cs="方正仿宋_GBK"/>
          <w:sz w:val="32"/>
          <w:highlight w:val="none"/>
        </w:rPr>
        <w:t>，宗地总面积大写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平方米），其中出让宗地面积为大写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本合同项下的出让宗地坐落于</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不动产单元代码为</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cs="Times New Roman"/>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13"/>
        <w:autoSpaceDE w:val="0"/>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第五条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本合同项下出让宗地的用途为</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rPr>
        <w:t>。</w:t>
      </w:r>
    </w:p>
    <w:p>
      <w:pPr>
        <w:autoSpaceDE w:val="0"/>
        <w:spacing w:line="600" w:lineRule="exact"/>
        <w:ind w:firstLine="643" w:firstLineChars="200"/>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第六条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（一）场地平整达到</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周围基础设施达到</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（二）现状土地条件</w:t>
      </w:r>
      <w:r>
        <w:rPr>
          <w:rFonts w:hint="eastAsia" w:ascii="方正仿宋_GBK" w:hAnsi="方正仿宋_GBK" w:eastAsia="方正仿宋_GBK" w:cs="方正仿宋_GBK"/>
          <w:kern w:val="2"/>
          <w:sz w:val="32"/>
          <w:szCs w:val="32"/>
          <w:highlight w:val="none"/>
          <w:u w:val="single"/>
        </w:rPr>
        <w:t>按</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第七条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本合同项下的国有建设用地使用权出让年期为</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，按本合同第六条约定的交付土地之日起算。</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第八条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本合同项下宗地的地表国有建设用地使用权出让价款为人民币大写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元），每平方米人民币大写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kern w:val="2"/>
          <w:sz w:val="32"/>
          <w:szCs w:val="32"/>
          <w:highlight w:val="none"/>
        </w:rPr>
        <w:t>元</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p>
    <w:p>
      <w:pPr>
        <w:pStyle w:val="13"/>
        <w:spacing w:before="0" w:beforeAutospacing="0" w:after="0" w:afterAutospacing="0" w:line="600" w:lineRule="exact"/>
        <w:ind w:firstLine="643" w:firstLineChars="200"/>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第九条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cs="Times New Roman"/>
          <w:kern w:val="2"/>
          <w:sz w:val="32"/>
          <w:szCs w:val="32"/>
          <w:highlight w:val="none"/>
          <w:u w:val="single"/>
        </w:rPr>
        <w:t xml:space="preserve"> </w:t>
      </w:r>
      <w:r>
        <w:rPr>
          <w:rFonts w:hint="eastAsia" w:ascii="仿宋_GB2312" w:hAnsi="仿宋_GB2312" w:eastAsia="仿宋_GB2312" w:cs="仿宋_GB2312"/>
          <w:kern w:val="2"/>
          <w:sz w:val="32"/>
          <w:szCs w:val="32"/>
          <w:highlight w:val="none"/>
          <w:u w:val="single"/>
        </w:rPr>
        <w:t>/</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3"/>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第二期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第十一条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highlight w:val="none"/>
        </w:rPr>
      </w:pPr>
      <w:r>
        <w:rPr>
          <w:rFonts w:hint="eastAsia" w:ascii="方正仿宋_GBK" w:hAnsi="方正仿宋_GBK" w:eastAsia="方正仿宋_GBK" w:cs="方正仿宋_GBK"/>
          <w:sz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第三章  土地开发建设与利用</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3" w:firstLineChars="200"/>
        <w:rPr>
          <w:rFonts w:ascii="Times New Roman" w:hAnsi="Times New Roman" w:eastAsia="方正仿宋_GBK" w:cs="Times New Roman"/>
          <w:sz w:val="32"/>
          <w:highlight w:val="none"/>
          <w:u w:val="single"/>
        </w:rPr>
      </w:pPr>
      <w:r>
        <w:rPr>
          <w:rFonts w:hint="eastAsia" w:ascii="方正楷体_GBK" w:hAnsi="Times New Roman" w:eastAsia="方正楷体_GBK" w:cs="Times New Roman"/>
          <w:b/>
          <w:bCs/>
          <w:kern w:val="0"/>
          <w:sz w:val="32"/>
          <w:szCs w:val="32"/>
          <w:highlight w:val="none"/>
          <w:lang w:val="en-US" w:eastAsia="zh-CN" w:bidi="ar-SA"/>
        </w:rPr>
        <w:t xml:space="preserve">第十二条 </w:t>
      </w:r>
      <w:r>
        <w:rPr>
          <w:rFonts w:ascii="Times New Roman" w:hAnsi="Times New Roman" w:eastAsia="方正仿宋_GBK" w:cs="Times New Roman"/>
          <w:sz w:val="32"/>
          <w:highlight w:val="none"/>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highlight w:val="none"/>
          <w:u w:val="single"/>
        </w:rPr>
        <w:t xml:space="preserve">   　    </w:t>
      </w:r>
      <w:r>
        <w:rPr>
          <w:rFonts w:ascii="Times New Roman" w:hAnsi="Times New Roman" w:eastAsia="方正仿宋_GBK" w:cs="Times New Roman"/>
          <w:sz w:val="32"/>
          <w:highlight w:val="none"/>
        </w:rPr>
        <w:t>万元（小写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万元），投资强度不低于每平方米人民币大写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元）。本合同项下宗地建设项目的固定资产总投资包括建筑物、构筑物及其附属设施、设备投资和出让价款等。</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第十三条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highlight w:val="none"/>
        </w:rPr>
        <w:t>3</w:t>
      </w:r>
      <w:r>
        <w:rPr>
          <w:rFonts w:ascii="Times New Roman" w:hAnsi="方正仿宋_GBK" w:eastAsia="方正仿宋_GBK" w:cs="Times New Roman"/>
          <w:kern w:val="2"/>
          <w:sz w:val="32"/>
          <w:szCs w:val="32"/>
          <w:highlight w:val="none"/>
        </w:rPr>
        <w:t>）。其中：</w:t>
      </w:r>
    </w:p>
    <w:p>
      <w:pPr>
        <w:pStyle w:val="13"/>
        <w:autoSpaceDE w:val="0"/>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主体建筑物性质</w:t>
      </w:r>
      <w:r>
        <w:rPr>
          <w:rFonts w:ascii="Times New Roman" w:hAnsi="Times New Roman" w:eastAsia="方正仿宋_GBK" w:cs="Times New Roman"/>
          <w:b/>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附属建筑物性质</w:t>
      </w:r>
      <w:r>
        <w:rPr>
          <w:rFonts w:ascii="Times New Roman" w:hAnsi="Times New Roman" w:eastAsia="方正仿宋_GBK" w:cs="Times New Roman"/>
          <w:b/>
          <w:kern w:val="2"/>
          <w:sz w:val="32"/>
          <w:szCs w:val="32"/>
          <w:highlight w:val="none"/>
          <w:u w:val="single"/>
        </w:rPr>
        <w:t xml:space="preserve">          /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建筑总面积：</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平方米（计入容积率面积）；</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highlight w:val="none"/>
        </w:rPr>
      </w:pPr>
      <w:r>
        <w:rPr>
          <w:rFonts w:ascii="Times New Roman" w:hAnsi="方正仿宋_GBK" w:eastAsia="方正仿宋_GBK" w:cs="Times New Roman"/>
          <w:kern w:val="2"/>
          <w:sz w:val="32"/>
          <w:szCs w:val="32"/>
          <w:highlight w:val="none"/>
        </w:rPr>
        <w:t>建筑容积率：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b/>
          <w:bCs/>
          <w:kern w:val="2"/>
          <w:sz w:val="32"/>
          <w:szCs w:val="32"/>
          <w:highlight w:val="none"/>
        </w:rPr>
        <w:t>；</w:t>
      </w:r>
    </w:p>
    <w:p>
      <w:pPr>
        <w:autoSpaceDE w:val="0"/>
        <w:spacing w:line="600" w:lineRule="exact"/>
        <w:ind w:firstLine="640" w:firstLineChars="200"/>
        <w:rPr>
          <w:rFonts w:ascii="Times New Roman" w:hAnsi="Times New Roman" w:eastAsia="方正仿宋_GBK" w:cs="Times New Roman"/>
          <w:sz w:val="32"/>
          <w:szCs w:val="32"/>
          <w:highlight w:val="none"/>
          <w:u w:val="single" w:color="000000"/>
        </w:rPr>
      </w:pPr>
      <w:r>
        <w:rPr>
          <w:rFonts w:ascii="Times New Roman" w:hAnsi="方正仿宋_GBK" w:eastAsia="方正仿宋_GBK" w:cs="Times New Roman"/>
          <w:sz w:val="32"/>
          <w:szCs w:val="32"/>
          <w:highlight w:val="none"/>
        </w:rPr>
        <w:t>土地用途：</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val="en-US" w:eastAsia="zh-CN"/>
        </w:rPr>
        <w:t xml:space="preserve">      </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建筑密度：</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绿地率：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建筑限高：</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其他土地利用要求按</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7"/>
        <w:spacing w:line="600" w:lineRule="exact"/>
        <w:ind w:firstLine="645"/>
        <w:jc w:val="left"/>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sz w:val="32"/>
          <w:highlight w:val="none"/>
        </w:rPr>
        <w:t>受让人同意本合同项下宗地用于工业项目建设，根据规划部门确定的规划设计条件，</w:t>
      </w:r>
      <w:r>
        <w:rPr>
          <w:rFonts w:ascii="Times New Roman" w:hAnsi="Times New Roman" w:eastAsia="方正仿宋_GBK" w:cs="Times New Roman"/>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sz w:val="32"/>
          <w:highlight w:val="none"/>
        </w:rPr>
        <w:t>的</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7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rPr>
        <w:t>％</w:t>
      </w:r>
      <w:r>
        <w:rPr>
          <w:rFonts w:ascii="Times New Roman" w:hAnsi="Times New Roman" w:eastAsia="方正仿宋_GBK" w:cs="Times New Roman"/>
          <w:sz w:val="32"/>
          <w:highlight w:val="none"/>
        </w:rPr>
        <w:t>，即不超过</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w:t>
      </w:r>
      <w:r>
        <w:rPr>
          <w:rFonts w:hint="eastAsia" w:ascii="Times New Roman" w:hAnsi="Times New Roman" w:eastAsia="方正仿宋_GBK" w:cs="Times New Roman"/>
          <w:sz w:val="32"/>
          <w:highlight w:val="none"/>
        </w:rPr>
        <w:t>，</w:t>
      </w:r>
      <w:r>
        <w:rPr>
          <w:rFonts w:ascii="Times New Roman" w:hAnsi="Times New Roman" w:eastAsia="方正仿宋_GBK" w:cs="Times New Roman"/>
          <w:sz w:val="32"/>
          <w:highlight w:val="none"/>
        </w:rPr>
        <w:t>建筑面积不超过</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u w:val="single"/>
          <w:lang w:bidi="ar"/>
        </w:rPr>
        <w:t xml:space="preserve"> /</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平方米。受让人同意不在受让宗地范围内建造成套住宅、专家楼、宾馆、招待所和培训中心等非生产性设施</w:t>
      </w:r>
      <w:r>
        <w:rPr>
          <w:rFonts w:ascii="Times New Roman" w:hAnsi="方正仿宋_GBK" w:eastAsia="方正仿宋_GBK" w:cs="Times New Roman"/>
          <w:kern w:val="2"/>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五</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受让人同意本合同项下宗地建设项目在</w:t>
      </w:r>
      <w:r>
        <w:rPr>
          <w:rFonts w:ascii="Times New Roman" w:hAnsi="Times New Roman" w:eastAsia="方正仿宋_GBK" w:cs="Times New Roman"/>
          <w:b/>
          <w:bCs/>
          <w:kern w:val="2"/>
          <w:sz w:val="32"/>
          <w:szCs w:val="32"/>
          <w:highlight w:val="none"/>
          <w:u w:val="single"/>
        </w:rPr>
        <w:t xml:space="preserve">    </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u w:val="single"/>
        </w:rPr>
      </w:pP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日之前开工，在</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日之前竣工。</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受让人不能按期开工，应提前</w:t>
      </w:r>
      <w:r>
        <w:rPr>
          <w:rFonts w:ascii="Times New Roman" w:hAnsi="Times New Roman" w:eastAsia="方正仿宋_GBK" w:cs="Times New Roman"/>
          <w:kern w:val="2"/>
          <w:sz w:val="32"/>
          <w:szCs w:val="32"/>
          <w:highlight w:val="none"/>
        </w:rPr>
        <w:t>30</w:t>
      </w:r>
      <w:r>
        <w:rPr>
          <w:rFonts w:ascii="Times New Roman" w:hAnsi="方正仿宋_GBK" w:eastAsia="方正仿宋_GBK" w:cs="Times New Roman"/>
          <w:kern w:val="2"/>
          <w:sz w:val="32"/>
          <w:szCs w:val="32"/>
          <w:highlight w:val="none"/>
        </w:rPr>
        <w:t>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六</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受让人在本合同项下宗地内进行建设时，有关用水、用气、污水及其他设施与宗地外主管线、用电变电站接口和引入工程，应按有关规定办理。</w:t>
      </w:r>
    </w:p>
    <w:p>
      <w:pPr>
        <w:pStyle w:val="13"/>
        <w:spacing w:before="0" w:beforeAutospacing="0" w:after="0" w:afterAutospacing="0" w:line="600" w:lineRule="exact"/>
        <w:jc w:val="both"/>
        <w:rPr>
          <w:rFonts w:ascii="Times New Roman" w:hAnsi="Times New Roman" w:eastAsia="方正仿宋_GBK" w:cs="Times New Roman"/>
          <w:b/>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受让人同意政府为公用事业需要而敷设的各种管道与管线进出、通过、穿越受让宗地，但由此影响受让宗地使用功能的，政府或公用事业营建主体应当给予合理补偿。</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eastAsia="zh-CN"/>
        </w:rPr>
        <w:t>（</w:t>
      </w:r>
      <w:r>
        <w:rPr>
          <w:rFonts w:hint="eastAsia" w:ascii="Times New Roman" w:hAnsi="Times New Roman" w:eastAsia="方正仿宋_GBK" w:cs="Times New Roman"/>
          <w:b/>
          <w:bCs/>
          <w:kern w:val="2"/>
          <w:sz w:val="32"/>
          <w:szCs w:val="32"/>
          <w:highlight w:val="none"/>
          <w:u w:val="single"/>
          <w:lang w:val="en-US" w:eastAsia="zh-CN"/>
        </w:rPr>
        <w:t>一</w:t>
      </w:r>
      <w:r>
        <w:rPr>
          <w:rFonts w:hint="eastAsia" w:ascii="Times New Roman" w:hAnsi="Times New Roman" w:eastAsia="方正仿宋_GBK" w:cs="Times New Roman"/>
          <w:b/>
          <w:bCs/>
          <w:kern w:val="2"/>
          <w:sz w:val="32"/>
          <w:szCs w:val="32"/>
          <w:highlight w:val="none"/>
          <w:u w:val="single"/>
          <w:lang w:eastAsia="zh-CN"/>
        </w:rPr>
        <w:t>）</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项规定办理：</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（一）由出让人有偿收回建设用地使用权；</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3"/>
        <w:spacing w:before="0" w:beforeAutospacing="0" w:after="0" w:afterAutospacing="0" w:line="600" w:lineRule="exact"/>
        <w:ind w:firstLine="645"/>
        <w:jc w:val="both"/>
        <w:rPr>
          <w:rFonts w:ascii="Times New Roman" w:hAnsi="方正仿宋_GBK"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第四章  国有建设用地使用权转让、出租、抵押</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w:t>
      </w:r>
      <w:r>
        <w:rPr>
          <w:rFonts w:hint="eastAsia" w:ascii="方正楷体_GBK" w:hAnsi="方正仿宋_GBK" w:eastAsia="方正楷体_GBK" w:cs="Times New Roman"/>
          <w:b/>
          <w:bCs/>
          <w:kern w:val="2"/>
          <w:sz w:val="32"/>
          <w:szCs w:val="32"/>
          <w:highlight w:val="none"/>
          <w:lang w:val="en-US" w:eastAsia="zh-CN" w:bidi="ar-SA"/>
        </w:rPr>
        <w:t>第二十条</w:t>
      </w:r>
      <w:r>
        <w:rPr>
          <w:rFonts w:ascii="Times New Roman" w:hAnsi="Times New Roman" w:eastAsia="方正仿宋_GBK" w:cs="Times New Roman"/>
          <w:sz w:val="32"/>
          <w:highlight w:val="none"/>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w:t>
      </w:r>
      <w:r>
        <w:rPr>
          <w:rFonts w:hint="eastAsia" w:ascii="Times New Roman" w:hAnsi="Times New Roman" w:eastAsia="方正仿宋_GBK" w:cs="Times New Roman"/>
          <w:sz w:val="32"/>
          <w:highlight w:val="none"/>
          <w:lang w:val="en-US" w:eastAsia="zh-CN"/>
        </w:rPr>
        <w:t>已形成工业用地或其他建设用地条件</w:t>
      </w:r>
      <w:r>
        <w:rPr>
          <w:rFonts w:ascii="Times New Roman" w:hAnsi="Times New Roman" w:eastAsia="方正仿宋_GBK" w:cs="Times New Roman"/>
          <w:sz w:val="32"/>
          <w:highlight w:val="none"/>
        </w:rPr>
        <w:t>。</w:t>
      </w: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第二十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Times New Roman" w:eastAsia="方正仿宋_GBK" w:cs="Times New Roman"/>
          <w:sz w:val="32"/>
          <w:highlight w:val="none"/>
        </w:rPr>
        <w:t xml:space="preserve"> 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第二十二条</w:t>
      </w:r>
      <w:r>
        <w:rPr>
          <w:rFonts w:ascii="方正楷体_GBK" w:hAnsi="方正仿宋_GBK" w:eastAsia="方正楷体_GBK" w:cs="Times New Roman"/>
          <w:b/>
          <w:bCs/>
          <w:kern w:val="2"/>
          <w:sz w:val="32"/>
          <w:szCs w:val="32"/>
          <w:highlight w:val="none"/>
          <w:lang w:val="en-US" w:eastAsia="zh-CN" w:bidi="ar-SA"/>
        </w:rPr>
        <w:t xml:space="preserve"> </w:t>
      </w:r>
      <w:r>
        <w:rPr>
          <w:rFonts w:ascii="Times New Roman" w:hAnsi="Times New Roman" w:eastAsia="方正仿宋_GBK" w:cs="Times New Roman"/>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第二十三条</w:t>
      </w:r>
      <w:r>
        <w:rPr>
          <w:rFonts w:ascii="Times New Roman" w:hAnsi="Times New Roman" w:eastAsia="方正仿宋_GBK" w:cs="Times New Roman"/>
          <w:sz w:val="32"/>
          <w:highlight w:val="none"/>
        </w:rPr>
        <w:t xml:space="preserve">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第五章 期限届满</w:t>
      </w:r>
      <w:r>
        <w:rPr>
          <w:rFonts w:hint="eastAsia" w:ascii="方正黑体_GBK" w:hAnsi="Times New Roman" w:eastAsia="方正黑体_GBK" w:cs="Times New Roman"/>
          <w:sz w:val="32"/>
          <w:highlight w:val="none"/>
        </w:rPr>
        <w:t xml:space="preserve">   </w:t>
      </w:r>
    </w:p>
    <w:p>
      <w:pPr>
        <w:pStyle w:val="7"/>
        <w:spacing w:line="600" w:lineRule="exact"/>
        <w:jc w:val="center"/>
        <w:rPr>
          <w:rFonts w:ascii="方正楷体_GBK" w:hAnsi="Times New Roman" w:eastAsia="方正楷体_GBK" w:cs="Times New Roman"/>
          <w:b/>
          <w:bCs/>
          <w:sz w:val="32"/>
          <w:highlight w:val="none"/>
        </w:rPr>
      </w:pP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第二十四条</w:t>
      </w:r>
      <w:r>
        <w:rPr>
          <w:rFonts w:ascii="Times New Roman" w:hAnsi="Times New Roman" w:eastAsia="方正仿宋_GBK" w:cs="Times New Roman"/>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住宅建设用地使用权期限届满的，自动续期。</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第二十五条</w:t>
      </w:r>
      <w:r>
        <w:rPr>
          <w:rFonts w:ascii="Times New Roman" w:hAnsi="Times New Roman" w:eastAsia="方正仿宋_GBK" w:cs="Times New Roman"/>
          <w:sz w:val="32"/>
          <w:highlight w:val="none"/>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w:t>
      </w:r>
      <w:r>
        <w:rPr>
          <w:rFonts w:ascii="Times New Roman" w:hAnsi="Times New Roman" w:eastAsia="方正仿宋_GBK" w:cs="Times New Roman"/>
          <w:sz w:val="32"/>
          <w:highlight w:val="none"/>
          <w:u w:val="none"/>
        </w:rPr>
        <w:t>条第</w:t>
      </w:r>
      <w:r>
        <w:rPr>
          <w:rFonts w:ascii="Times New Roman" w:hAnsi="Times New Roman" w:eastAsia="方正仿宋_GBK" w:cs="Times New Roman"/>
          <w:sz w:val="32"/>
          <w:highlight w:val="none"/>
          <w:u w:val="single"/>
        </w:rPr>
        <w:t>（一）</w:t>
      </w:r>
      <w:r>
        <w:rPr>
          <w:rFonts w:ascii="Times New Roman" w:hAnsi="Times New Roman" w:eastAsia="方正仿宋_GBK" w:cs="Times New Roman"/>
          <w:sz w:val="32"/>
          <w:highlight w:val="none"/>
        </w:rPr>
        <w:t>项约定履行：</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第二十六条</w:t>
      </w:r>
      <w:r>
        <w:rPr>
          <w:rFonts w:ascii="Times New Roman" w:hAnsi="Times New Roman" w:eastAsia="方正仿宋_GBK" w:cs="Times New Roman"/>
          <w:sz w:val="32"/>
          <w:highlight w:val="none"/>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第六章 不可抗力</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highlight w:val="none"/>
        </w:rPr>
        <w:t xml:space="preserve">   </w:t>
      </w:r>
      <w:r>
        <w:rPr>
          <w:rFonts w:hint="eastAsia" w:ascii="方正楷体_GBK" w:hAnsi="方正仿宋_GBK" w:eastAsia="方正楷体_GBK" w:cs="Times New Roman"/>
          <w:b/>
          <w:bCs/>
          <w:kern w:val="2"/>
          <w:sz w:val="32"/>
          <w:szCs w:val="32"/>
          <w:highlight w:val="none"/>
        </w:rPr>
        <w:t xml:space="preserve"> </w:t>
      </w:r>
      <w:r>
        <w:rPr>
          <w:rFonts w:ascii="方正楷体_GBK" w:hAnsi="方正仿宋_GBK" w:eastAsia="方正楷体_GBK" w:cs="Times New Roman"/>
          <w:b/>
          <w:bCs/>
          <w:kern w:val="2"/>
          <w:sz w:val="32"/>
          <w:szCs w:val="32"/>
          <w:highlight w:val="none"/>
        </w:rPr>
        <w:t>第二十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第二十</w:t>
      </w:r>
      <w:r>
        <w:rPr>
          <w:rFonts w:hint="eastAsia" w:ascii="方正楷体_GBK" w:hAnsi="方正仿宋_GBK" w:eastAsia="方正楷体_GBK" w:cs="Times New Roman"/>
          <w:b/>
          <w:bCs/>
          <w:kern w:val="2"/>
          <w:sz w:val="32"/>
          <w:szCs w:val="32"/>
          <w:highlight w:val="none"/>
          <w:lang w:val="en-US" w:eastAsia="zh-CN" w:bidi="ar-SA"/>
        </w:rPr>
        <w:t>八</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方正仿宋_GBK" w:eastAsia="方正仿宋_GBK" w:cs="Times New Roman"/>
          <w:sz w:val="32"/>
          <w:highlight w:val="none"/>
        </w:rPr>
        <w:t>遇有不可抗力的一方，应在</w:t>
      </w:r>
      <w:r>
        <w:rPr>
          <w:rFonts w:ascii="Times New Roman" w:hAnsi="Times New Roman" w:eastAsia="方正仿宋_GBK" w:cs="Times New Roman"/>
          <w:sz w:val="32"/>
          <w:highlight w:val="none"/>
        </w:rPr>
        <w:t>7</w:t>
      </w:r>
      <w:r>
        <w:rPr>
          <w:rFonts w:ascii="Times New Roman" w:hAnsi="方正仿宋_GBK" w:eastAsia="方正仿宋_GBK" w:cs="Times New Roman"/>
          <w:sz w:val="32"/>
          <w:highlight w:val="none"/>
        </w:rPr>
        <w:t>日内将不可抗力情况以信函、电报、传真等书面形式通知另一方，并在不可抗力发生后</w:t>
      </w:r>
      <w:r>
        <w:rPr>
          <w:rFonts w:ascii="Times New Roman" w:hAnsi="Times New Roman" w:eastAsia="方正仿宋_GBK" w:cs="Times New Roman"/>
          <w:sz w:val="32"/>
          <w:highlight w:val="none"/>
        </w:rPr>
        <w:t>15</w:t>
      </w:r>
      <w:r>
        <w:rPr>
          <w:rFonts w:ascii="Times New Roman" w:hAnsi="方正仿宋_GBK" w:eastAsia="方正仿宋_GBK" w:cs="Times New Roman"/>
          <w:sz w:val="32"/>
          <w:highlight w:val="none"/>
        </w:rPr>
        <w:t>日内，向另一方提交本合同部分或全部不能履行或需要延期履行的报告及证明。</w:t>
      </w:r>
      <w:r>
        <w:rPr>
          <w:rFonts w:ascii="Times New Roman" w:hAnsi="Times New Roman" w:eastAsia="方正仿宋_GBK" w:cs="Times New Roman"/>
          <w:sz w:val="32"/>
          <w:highlight w:val="none"/>
        </w:rPr>
        <w:t xml:space="preserve">   </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第七章 违约责任</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第二十九条</w:t>
      </w:r>
      <w:r>
        <w:rPr>
          <w:rFonts w:ascii="Times New Roman" w:hAnsi="Times New Roman" w:eastAsia="方正仿宋_GBK" w:cs="Times New Roman"/>
          <w:sz w:val="32"/>
          <w:highlight w:val="none"/>
        </w:rPr>
        <w:t xml:space="preserve">  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highlight w:val="none"/>
          <w:u w:val="single"/>
        </w:rPr>
        <w:t xml:space="preserve">1 </w:t>
      </w:r>
      <w:r>
        <w:rPr>
          <w:rFonts w:ascii="Times New Roman" w:hAnsi="Times New Roman" w:eastAsia="方正仿宋_GBK" w:cs="Times New Roman"/>
          <w:sz w:val="32"/>
          <w:highlight w:val="none"/>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第三十条</w:t>
      </w:r>
      <w:r>
        <w:rPr>
          <w:rFonts w:ascii="Times New Roman" w:hAnsi="Times New Roman" w:eastAsia="方正仿宋_GBK" w:cs="Times New Roman"/>
          <w:sz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（一）受让人在本合同约定的开工建设日期届满一年前不少于60日向出让人提出申请的，出让人在扣除定金后退还受让人已支付的国有建设用地使用权出让价款；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（二）受让人在本合同约定的开工建设日期超过一年但未满二年，并在届满二年前不少于</w:t>
      </w:r>
      <w:r>
        <w:rPr>
          <w:rFonts w:ascii="Times New Roman" w:hAnsi="Times New Roman" w:eastAsia="方正仿宋_GBK" w:cs="Times New Roman"/>
          <w:sz w:val="32"/>
          <w:highlight w:val="none"/>
        </w:rPr>
        <w:t>60日向出让人提出申请的，出让人应在扣除本合同约定的定金，并按照规定征收土地闲置费后，将剩余的已付国有建设用地使用权出让价款退还受让人。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第三十二条</w:t>
      </w:r>
      <w:r>
        <w:rPr>
          <w:rFonts w:ascii="Times New Roman" w:hAnsi="Times New Roman" w:eastAsia="方正仿宋_GBK" w:cs="Times New Roman"/>
          <w:sz w:val="32"/>
          <w:highlight w:val="none"/>
        </w:rPr>
        <w:t xml:space="preserve"> 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highlight w:val="none"/>
          <w:u w:val="single"/>
        </w:rPr>
        <w:t xml:space="preserve"> </w:t>
      </w:r>
      <w:r>
        <w:rPr>
          <w:rFonts w:hint="default" w:ascii="Times New Roman" w:hAnsi="Times New Roman" w:eastAsia="方正仿宋_GBK" w:cs="Times New Roman"/>
          <w:sz w:val="32"/>
          <w:highlight w:val="none"/>
          <w:u w:val="single"/>
        </w:rPr>
        <w:t>/</w:t>
      </w:r>
      <w:r>
        <w:rPr>
          <w:rFonts w:hint="eastAsia" w:ascii="Times New Roman" w:hAnsi="Times New Roman" w:eastAsia="方正仿宋_GBK" w:cs="Times New Roman"/>
          <w:sz w:val="32"/>
          <w:highlight w:val="none"/>
          <w:u w:val="single"/>
          <w:lang w:val="en-US" w:eastAsia="zh-CN"/>
        </w:rPr>
        <w:t xml:space="preserve"> </w:t>
      </w:r>
      <w:r>
        <w:rPr>
          <w:rFonts w:ascii="Times New Roman" w:hAnsi="Times New Roman" w:eastAsia="方正仿宋_GBK" w:cs="Times New Roman"/>
          <w:sz w:val="32"/>
          <w:highlight w:val="none"/>
        </w:rPr>
        <w:t xml:space="preserve"> </w:t>
      </w:r>
      <w:bookmarkStart w:id="1" w:name="_GoBack"/>
      <w:bookmarkEnd w:id="1"/>
      <w:r>
        <w:rPr>
          <w:rFonts w:ascii="Times New Roman" w:hAnsi="Times New Roman" w:eastAsia="方正仿宋_GBK" w:cs="Times New Roman"/>
          <w:sz w:val="32"/>
          <w:highlight w:val="none"/>
        </w:rPr>
        <w:t>‰的违约金，出让人有权要求受让人继续履约。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highlight w:val="none"/>
          <w:u w:val="single"/>
        </w:rPr>
        <w:t xml:space="preserve"> </w:t>
      </w:r>
      <w:r>
        <w:rPr>
          <w:rFonts w:hint="default" w:ascii="Times New Roman" w:hAnsi="Times New Roman" w:eastAsia="方正仿宋_GBK" w:cs="Times New Roman"/>
          <w:sz w:val="32"/>
          <w:highlight w:val="none"/>
          <w:u w:val="single"/>
        </w:rPr>
        <w:t>/</w:t>
      </w:r>
      <w:r>
        <w:rPr>
          <w:rFonts w:hint="eastAsia" w:ascii="Times New Roman" w:hAnsi="Times New Roman" w:eastAsia="方正仿宋_GBK" w:cs="Times New Roman"/>
          <w:sz w:val="32"/>
          <w:highlight w:val="none"/>
          <w:u w:val="single"/>
          <w:lang w:val="en-US" w:eastAsia="zh-CN"/>
        </w:rPr>
        <w:t xml:space="preserve"> </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‰的违约金。</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三</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第三十四条</w:t>
      </w:r>
      <w:r>
        <w:rPr>
          <w:rFonts w:ascii="Times New Roman" w:hAnsi="Times New Roman" w:eastAsia="方正仿宋_GBK" w:cs="Times New Roman"/>
          <w:sz w:val="32"/>
          <w:highlight w:val="none"/>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第三十五条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sz w:val="32"/>
          <w:highlight w:val="none"/>
          <w:u w:val="single"/>
          <w:lang w:val="en-US" w:eastAsia="zh-CN"/>
        </w:rPr>
        <w:t xml:space="preserve">  1 </w:t>
      </w:r>
      <w:r>
        <w:rPr>
          <w:rFonts w:hint="eastAsia" w:ascii="Times New Roman" w:hAnsi="Times New Roman" w:eastAsia="方正仿宋_GBK" w:cs="Times New Roman"/>
          <w:sz w:val="32"/>
          <w:highlight w:val="none"/>
          <w:lang w:val="en-US" w:eastAsia="zh-CN"/>
        </w:rPr>
        <w:t xml:space="preserve"> ‰的违约金，并自行拆除相应的绿化和建筑设施。</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第三十六条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受让人按照《国有建设用地使用权出让合同》约定期限缴清国有建设用地使用权出让价款（含延迟缴纳国有建设用地使用权出让价款违约金及分期付款利息）并提出交地申请的，出让人接到交地申请后</w:t>
      </w:r>
      <w:r>
        <w:rPr>
          <w:rFonts w:ascii="Times New Roman" w:hAnsi="Times New Roman" w:eastAsia="方正仿宋_GBK" w:cs="Times New Roman"/>
          <w:sz w:val="32"/>
          <w:highlight w:val="none"/>
        </w:rPr>
        <w:t>10个工作日并达到约定交地时间因出让人原因未交付土地的，每延期一日，出让人应当按国有建设用地使用权出让价款（不含延迟缴纳国有建设用地使用权出让价款违约金及分期付款利息）的1‰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cs="Times New Roman"/>
          <w:sz w:val="32"/>
          <w:highlight w:val="none"/>
        </w:rPr>
        <w:t>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第三十七条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第八章 适用法律及争议解决</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 xml:space="preserve">  第三十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本合同订立、效力、解释、履行及争议的解决，适用中华人民共和国法律。</w:t>
      </w:r>
    </w:p>
    <w:p>
      <w:pPr>
        <w:pStyle w:val="13"/>
        <w:spacing w:before="0" w:beforeAutospacing="0" w:after="0" w:afterAutospacing="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第三十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 xml:space="preserve">条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因履行本合同发生争议，由争议双方协商解决，协商不成的，按本条第</w:t>
      </w:r>
      <w:r>
        <w:rPr>
          <w:rFonts w:hint="eastAsia" w:ascii="方正楷体简体" w:hAnsi="方正楷体简体" w:eastAsia="方正楷体简体" w:cs="方正楷体简体"/>
          <w:b/>
          <w:bCs/>
          <w:kern w:val="2"/>
          <w:sz w:val="32"/>
          <w:szCs w:val="32"/>
          <w:highlight w:val="none"/>
          <w:u w:val="single"/>
        </w:rPr>
        <w:t>（二）</w:t>
      </w:r>
      <w:r>
        <w:rPr>
          <w:rFonts w:ascii="Times New Roman" w:hAnsi="方正仿宋_GBK" w:eastAsia="方正仿宋_GBK" w:cs="Times New Roman"/>
          <w:kern w:val="2"/>
          <w:sz w:val="32"/>
          <w:szCs w:val="32"/>
          <w:highlight w:val="none"/>
        </w:rPr>
        <w:t>项约定的方式解决：</w:t>
      </w:r>
    </w:p>
    <w:p>
      <w:pPr>
        <w:pStyle w:val="13"/>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（一）提交</w:t>
      </w:r>
      <w:r>
        <w:rPr>
          <w:rFonts w:ascii="Times New Roman" w:hAnsi="Times New Roman" w:eastAsia="方正仿宋_GBK" w:cs="Times New Roman"/>
          <w:kern w:val="2"/>
          <w:sz w:val="32"/>
          <w:szCs w:val="32"/>
          <w:highlight w:val="none"/>
          <w:u w:val="single"/>
        </w:rPr>
        <w:t xml:space="preserve">   /   </w:t>
      </w:r>
      <w:r>
        <w:rPr>
          <w:rFonts w:ascii="Times New Roman" w:hAnsi="方正仿宋_GBK" w:eastAsia="方正仿宋_GBK" w:cs="Times New Roman"/>
          <w:kern w:val="2"/>
          <w:sz w:val="32"/>
          <w:szCs w:val="32"/>
          <w:highlight w:val="none"/>
        </w:rPr>
        <w:t>仲裁委员会仲裁；</w:t>
      </w:r>
    </w:p>
    <w:p>
      <w:pPr>
        <w:pStyle w:val="7"/>
        <w:spacing w:line="600" w:lineRule="exact"/>
        <w:ind w:firstLine="640" w:firstLineChars="200"/>
        <w:rPr>
          <w:rFonts w:ascii="Times New Roman" w:hAnsi="Times New Roman" w:eastAsia="方正仿宋_GBK" w:cs="Times New Roman"/>
          <w:sz w:val="32"/>
          <w:highlight w:val="none"/>
        </w:rPr>
      </w:pPr>
      <w:r>
        <w:rPr>
          <w:rFonts w:ascii="Times New Roman" w:hAnsi="方正仿宋_GBK" w:eastAsia="方正仿宋_GBK" w:cs="Times New Roman"/>
          <w:sz w:val="32"/>
          <w:highlight w:val="none"/>
        </w:rPr>
        <w:t>（二）依法向人民法院起诉。</w:t>
      </w:r>
    </w:p>
    <w:p>
      <w:pPr>
        <w:pStyle w:val="13"/>
        <w:spacing w:before="0" w:beforeAutospacing="0" w:after="0" w:afterAutospacing="0" w:line="600" w:lineRule="exact"/>
        <w:jc w:val="both"/>
        <w:rPr>
          <w:rFonts w:ascii="Times New Roman" w:hAnsi="Times New Roman" w:eastAsia="方正仿宋_GBK" w:cs="Times New Roman"/>
          <w:sz w:val="32"/>
          <w:highlight w:val="none"/>
        </w:rPr>
      </w:pPr>
      <w:r>
        <w:rPr>
          <w:rFonts w:ascii="Times New Roman" w:hAnsi="Times New Roman" w:eastAsia="方正仿宋_GBK" w:cs="Times New Roman"/>
          <w:kern w:val="2"/>
          <w:sz w:val="32"/>
          <w:szCs w:val="32"/>
          <w:highlight w:val="none"/>
        </w:rPr>
        <w:t xml:space="preserve">   </w:t>
      </w: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第九章 附 则</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w:t>
      </w:r>
      <w:r>
        <w:rPr>
          <w:rFonts w:hint="eastAsia" w:ascii="方正楷体_GBK" w:hAnsi="方正仿宋_GBK" w:eastAsia="方正楷体_GBK" w:cs="Times New Roman"/>
          <w:b/>
          <w:bCs/>
          <w:kern w:val="2"/>
          <w:sz w:val="32"/>
          <w:szCs w:val="32"/>
          <w:highlight w:val="none"/>
          <w:lang w:val="en-US" w:eastAsia="zh-CN"/>
        </w:rPr>
        <w:t>四十</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本合同项下宗地出让方案业经</w:t>
      </w:r>
      <w:r>
        <w:rPr>
          <w:rFonts w:ascii="Times New Roman" w:hAnsi="方正仿宋_GBK" w:eastAsia="方正仿宋_GBK" w:cs="Times New Roman"/>
          <w:kern w:val="2"/>
          <w:sz w:val="32"/>
          <w:szCs w:val="32"/>
          <w:highlight w:val="none"/>
          <w:u w:val="single"/>
        </w:rPr>
        <w:t>资阳市</w:t>
      </w:r>
      <w:r>
        <w:rPr>
          <w:rFonts w:ascii="Times New Roman" w:hAnsi="方正仿宋_GBK" w:eastAsia="方正仿宋_GBK" w:cs="Times New Roman"/>
          <w:kern w:val="2"/>
          <w:sz w:val="32"/>
          <w:szCs w:val="32"/>
          <w:highlight w:val="none"/>
        </w:rPr>
        <w:t>人民政府批准，本合同自双方签订之日起生效。</w:t>
      </w:r>
    </w:p>
    <w:p>
      <w:pPr>
        <w:pStyle w:val="13"/>
        <w:spacing w:before="0" w:beforeAutospacing="0" w:after="0" w:afterAutospacing="0" w:line="600" w:lineRule="exact"/>
        <w:ind w:firstLine="643" w:firstLineChars="200"/>
        <w:jc w:val="both"/>
        <w:rPr>
          <w:rFonts w:ascii="Times New Roman" w:hAnsi="Times New Roman" w:eastAsia="方正仿宋_GBK" w:cs="Times New Roman"/>
          <w:b/>
          <w:bCs/>
          <w:kern w:val="2"/>
          <w:sz w:val="32"/>
          <w:szCs w:val="32"/>
          <w:highlight w:val="none"/>
        </w:rPr>
      </w:pPr>
      <w:r>
        <w:rPr>
          <w:rFonts w:ascii="方正楷体_GBK" w:hAnsi="方正仿宋_GBK" w:eastAsia="方正楷体_GBK" w:cs="Times New Roman"/>
          <w:b/>
          <w:bCs/>
          <w:kern w:val="2"/>
          <w:sz w:val="32"/>
          <w:szCs w:val="32"/>
          <w:highlight w:val="none"/>
        </w:rPr>
        <w:t>第四十一条</w:t>
      </w:r>
      <w:r>
        <w:rPr>
          <w:rFonts w:ascii="Times New Roman" w:hAnsi="Times New Roman" w:eastAsia="方正仿宋_GBK" w:cs="Times New Roman"/>
          <w:b/>
          <w:bCs/>
          <w:kern w:val="2"/>
          <w:sz w:val="32"/>
          <w:szCs w:val="32"/>
          <w:highlight w:val="none"/>
        </w:rPr>
        <w:t xml:space="preserve">  </w:t>
      </w:r>
      <w:r>
        <w:rPr>
          <w:rFonts w:ascii="Times New Roman" w:hAnsi="方正仿宋_GBK" w:eastAsia="方正仿宋_GBK" w:cs="Times New Roman"/>
          <w:kern w:val="2"/>
          <w:sz w:val="32"/>
          <w:szCs w:val="32"/>
          <w:highlight w:val="none"/>
        </w:rPr>
        <w:t>本</w:t>
      </w:r>
      <w:r>
        <w:rPr>
          <w:rFonts w:ascii="Times New Roman" w:hAnsi="方正仿宋_GBK" w:eastAsia="方正仿宋_GBK" w:cs="Times New Roman"/>
          <w:sz w:val="32"/>
          <w:szCs w:val="32"/>
          <w:highlight w:val="none"/>
        </w:rPr>
        <w:t>合同双方当事人均保证本合同中所填写的姓名、</w:t>
      </w:r>
      <w:r>
        <w:rPr>
          <w:rFonts w:ascii="Times New Roman" w:hAnsi="方正仿宋_GBK" w:eastAsia="方正仿宋_GBK" w:cs="Times New Roman"/>
          <w:kern w:val="2"/>
          <w:sz w:val="32"/>
          <w:szCs w:val="32"/>
          <w:highlight w:val="none"/>
        </w:rPr>
        <w:t>通讯地址、电话、传真、开户银行、</w:t>
      </w:r>
      <w:r>
        <w:rPr>
          <w:rFonts w:ascii="Times New Roman" w:hAnsi="方正仿宋_GBK" w:eastAsia="方正仿宋_GBK" w:cs="Times New Roman"/>
          <w:sz w:val="32"/>
          <w:szCs w:val="32"/>
          <w:highlight w:val="none"/>
        </w:rPr>
        <w:t>代理人等内容的真实有效，一方的信息如有变更，应于变更之日起</w:t>
      </w:r>
      <w:r>
        <w:rPr>
          <w:rFonts w:ascii="Times New Roman" w:hAnsi="Times New Roman" w:eastAsia="方正仿宋_GBK" w:cs="Times New Roman"/>
          <w:sz w:val="32"/>
          <w:szCs w:val="32"/>
          <w:highlight w:val="none"/>
        </w:rPr>
        <w:t>15</w:t>
      </w:r>
      <w:r>
        <w:rPr>
          <w:rFonts w:ascii="Times New Roman" w:hAnsi="方正仿宋_GBK" w:eastAsia="方正仿宋_GBK" w:cs="Times New Roman"/>
          <w:sz w:val="32"/>
          <w:szCs w:val="32"/>
          <w:highlight w:val="none"/>
        </w:rPr>
        <w:t>日内以书面形式告知对方，否则由此引起的无法及时告知的责任由信息变更方承担。</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二</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本合同和附件共</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页整，以中文书写为准。</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w:t>
      </w:r>
      <w:r>
        <w:rPr>
          <w:rFonts w:ascii="方正楷体_GBK" w:hAnsi="方正仿宋_GBK" w:eastAsia="方正楷体_GBK" w:cs="Times New Roman"/>
          <w:b/>
          <w:bCs/>
          <w:sz w:val="32"/>
          <w:szCs w:val="32"/>
          <w:highlight w:val="none"/>
        </w:rPr>
        <w:t>四十三</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本合同的价款、金额、面积等项应当同时以大、小写表示，大小写数额应当一致，不一致的，以大写为准。</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本合同未尽事宜，可由双方约定后作为合同附件。</w:t>
      </w:r>
    </w:p>
    <w:p>
      <w:pPr>
        <w:spacing w:line="600" w:lineRule="exact"/>
        <w:ind w:firstLine="643" w:firstLineChars="200"/>
        <w:rPr>
          <w:rFonts w:ascii="Times New Roman" w:hAnsi="Times New Roman" w:eastAsia="方正仿宋_GBK" w:cs="Times New Roman"/>
          <w:bCs/>
          <w:sz w:val="32"/>
          <w:szCs w:val="32"/>
          <w:highlight w:val="none"/>
        </w:rPr>
      </w:pPr>
      <w:r>
        <w:rPr>
          <w:rFonts w:ascii="方正楷体_GBK" w:hAnsi="方正仿宋_GBK" w:eastAsia="方正楷体_GBK" w:cs="Times New Roman"/>
          <w:b/>
          <w:bCs/>
          <w:sz w:val="32"/>
          <w:szCs w:val="32"/>
          <w:highlight w:val="none"/>
        </w:rPr>
        <w:t>第四十</w:t>
      </w:r>
      <w:r>
        <w:rPr>
          <w:rFonts w:hint="eastAsia" w:ascii="方正楷体_GBK" w:hAnsi="方正仿宋_GBK" w:eastAsia="方正楷体_GBK" w:cs="Times New Roman"/>
          <w:b/>
          <w:bCs/>
          <w:sz w:val="32"/>
          <w:szCs w:val="32"/>
          <w:highlight w:val="none"/>
          <w:lang w:val="en-US" w:eastAsia="zh-CN"/>
        </w:rPr>
        <w:t>五</w:t>
      </w:r>
      <w:r>
        <w:rPr>
          <w:rFonts w:ascii="方正楷体_GBK" w:hAnsi="方正仿宋_GBK" w:eastAsia="方正楷体_GBK" w:cs="Times New Roman"/>
          <w:b/>
          <w:bCs/>
          <w:sz w:val="32"/>
          <w:szCs w:val="32"/>
          <w:highlight w:val="none"/>
        </w:rPr>
        <w:t>条</w:t>
      </w:r>
      <w:r>
        <w:rPr>
          <w:rFonts w:ascii="Times New Roman" w:hAnsi="Times New Roman" w:eastAsia="方正仿宋_GBK" w:cs="Times New Roman"/>
          <w:sz w:val="32"/>
          <w:szCs w:val="32"/>
          <w:highlight w:val="none"/>
        </w:rPr>
        <w:t xml:space="preserve">  </w:t>
      </w:r>
      <w:r>
        <w:rPr>
          <w:rFonts w:ascii="Times New Roman" w:hAnsi="方正仿宋_GBK" w:eastAsia="方正仿宋_GBK" w:cs="Times New Roman"/>
          <w:sz w:val="32"/>
          <w:szCs w:val="32"/>
          <w:highlight w:val="none"/>
        </w:rPr>
        <w:t>本合同一式</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份，出让人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份，受让人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份，具有同等法律效力。</w:t>
      </w: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hint="eastAsia" w:ascii="方正小标宋_GBK" w:hAnsi="方正黑体简体" w:eastAsia="方正小标宋_GBK" w:cs="方正黑体简体"/>
          <w:kern w:val="2"/>
          <w:sz w:val="44"/>
          <w:szCs w:val="44"/>
          <w:highlight w:val="none"/>
        </w:rPr>
        <w:t xml:space="preserve"> 补充条款 </w:t>
      </w: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p>
    <w:p>
      <w:pPr>
        <w:numPr>
          <w:ilvl w:val="0"/>
          <w:numId w:val="2"/>
        </w:numPr>
        <w:adjustRightInd w:val="0"/>
        <w:snapToGrid w:val="0"/>
        <w:spacing w:line="62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s="Times New Roman"/>
          <w:bCs/>
          <w:sz w:val="32"/>
          <w:szCs w:val="32"/>
          <w:highlight w:val="none"/>
        </w:rPr>
        <w:t>该地块按土地现状</w:t>
      </w:r>
      <w:r>
        <w:rPr>
          <w:rFonts w:hint="eastAsia" w:ascii="Times New Roman" w:hAnsi="Times New Roman" w:eastAsia="方正仿宋_GBK" w:cs="Times New Roman"/>
          <w:bCs/>
          <w:sz w:val="32"/>
          <w:szCs w:val="32"/>
          <w:highlight w:val="none"/>
          <w:lang w:eastAsia="zh-CN"/>
        </w:rPr>
        <w:t>“净地”</w:t>
      </w:r>
      <w:r>
        <w:rPr>
          <w:rFonts w:ascii="Times New Roman" w:hAnsi="Times New Roman" w:eastAsia="方正仿宋_GBK" w:cs="Times New Roman"/>
          <w:bCs/>
          <w:sz w:val="32"/>
          <w:szCs w:val="32"/>
          <w:highlight w:val="none"/>
        </w:rPr>
        <w:t>挂牌出让</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受让人在入场施工及开发建设过程中对现状</w:t>
      </w:r>
      <w:r>
        <w:rPr>
          <w:rFonts w:hint="eastAsia" w:ascii="Times New Roman" w:hAnsi="Times New Roman" w:eastAsia="方正仿宋_GBK"/>
          <w:color w:val="auto"/>
          <w:sz w:val="32"/>
          <w:szCs w:val="32"/>
          <w:highlight w:val="none"/>
          <w:lang w:eastAsia="zh-CN"/>
        </w:rPr>
        <w:t>“净地”</w:t>
      </w:r>
      <w:r>
        <w:rPr>
          <w:rFonts w:hint="eastAsia" w:ascii="Times New Roman" w:hAnsi="Times New Roman" w:eastAsia="方正仿宋_GBK"/>
          <w:color w:val="auto"/>
          <w:sz w:val="32"/>
          <w:szCs w:val="32"/>
          <w:highlight w:val="none"/>
        </w:rPr>
        <w:t>产生异议的，一切责任由受让人承担，出让人不承担任何责任。</w:t>
      </w:r>
      <w:r>
        <w:rPr>
          <w:rFonts w:ascii="Times New Roman" w:hAnsi="Times New Roman" w:eastAsia="方正仿宋_GBK"/>
          <w:color w:val="auto"/>
          <w:sz w:val="32"/>
          <w:szCs w:val="32"/>
          <w:highlight w:val="none"/>
        </w:rPr>
        <w:t>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方正仿宋_GBK" w:eastAsia="方正仿宋_GBK" w:cs="Times New Roman"/>
          <w:bCs/>
          <w:color w:val="auto"/>
          <w:sz w:val="32"/>
          <w:szCs w:val="32"/>
          <w:highlight w:val="none"/>
          <w:lang w:val="en-US" w:eastAsia="zh-CN"/>
        </w:rPr>
        <w:t>二、</w:t>
      </w:r>
      <w:r>
        <w:rPr>
          <w:rFonts w:ascii="Times New Roman" w:hAnsi="方正仿宋_GBK" w:eastAsia="方正仿宋_GBK" w:cs="Times New Roman"/>
          <w:bCs/>
          <w:sz w:val="32"/>
          <w:szCs w:val="32"/>
          <w:highlight w:val="none"/>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三、</w:t>
      </w:r>
      <w:r>
        <w:rPr>
          <w:rFonts w:ascii="Times New Roman" w:hAnsi="Times New Roman" w:eastAsia="方正仿宋_GBK" w:cs="Times New Roman"/>
          <w:bCs/>
          <w:sz w:val="32"/>
          <w:szCs w:val="32"/>
          <w:highlight w:val="none"/>
        </w:rPr>
        <w:t>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四、</w:t>
      </w:r>
      <w:r>
        <w:rPr>
          <w:rFonts w:ascii="Times New Roman" w:hAnsi="Times New Roman" w:eastAsia="方正仿宋_GBK" w:cs="Times New Roman"/>
          <w:bCs/>
          <w:sz w:val="32"/>
          <w:szCs w:val="32"/>
          <w:highlight w:val="none"/>
        </w:rPr>
        <w:t>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cs="Times New Roman"/>
          <w:kern w:val="0"/>
          <w:sz w:val="32"/>
          <w:szCs w:val="32"/>
          <w:highlight w:val="none"/>
        </w:rPr>
      </w:pPr>
      <w:r>
        <w:rPr>
          <w:rFonts w:hint="eastAsia" w:ascii="Times New Roman" w:hAnsi="Times New Roman" w:eastAsia="方正仿宋_GBK" w:cs="Times New Roman"/>
          <w:bCs/>
          <w:sz w:val="32"/>
          <w:szCs w:val="32"/>
          <w:highlight w:val="none"/>
          <w:lang w:val="en-US" w:eastAsia="zh-CN"/>
        </w:rPr>
        <w:t>五、</w:t>
      </w:r>
      <w:r>
        <w:rPr>
          <w:rFonts w:ascii="Times New Roman" w:hAnsi="Times New Roman" w:eastAsia="方正仿宋_GBK" w:cs="Times New Roman"/>
          <w:kern w:val="0"/>
          <w:sz w:val="32"/>
          <w:szCs w:val="32"/>
          <w:highlight w:val="none"/>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kern w:val="0"/>
          <w:sz w:val="32"/>
          <w:szCs w:val="32"/>
          <w:highlight w:val="none"/>
          <w:lang w:val="en-US" w:eastAsia="zh-CN"/>
        </w:rPr>
        <w:t>六、</w:t>
      </w:r>
      <w:r>
        <w:rPr>
          <w:rFonts w:ascii="Times New Roman" w:hAnsi="Times New Roman" w:eastAsia="方正仿宋_GBK" w:cs="Times New Roman"/>
          <w:bCs/>
          <w:sz w:val="32"/>
          <w:szCs w:val="32"/>
          <w:highlight w:val="none"/>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七、</w:t>
      </w:r>
      <w:r>
        <w:rPr>
          <w:rFonts w:ascii="Times New Roman" w:hAnsi="Times New Roman" w:eastAsia="方正仿宋_GBK" w:cs="Times New Roman"/>
          <w:bCs/>
          <w:sz w:val="32"/>
          <w:szCs w:val="32"/>
          <w:highlight w:val="none"/>
        </w:rPr>
        <w:t>国有建设用地使用权出让合同（示范文本）部分条款释义（详见附件</w:t>
      </w:r>
      <w:r>
        <w:rPr>
          <w:rFonts w:hint="eastAsia" w:ascii="Times New Roman" w:hAnsi="Times New Roman" w:eastAsia="方正仿宋_GBK" w:cs="Times New Roman"/>
          <w:bCs/>
          <w:sz w:val="32"/>
          <w:szCs w:val="32"/>
          <w:highlight w:val="none"/>
          <w:lang w:val="en-US" w:eastAsia="zh-CN"/>
        </w:rPr>
        <w:t>4</w:t>
      </w:r>
      <w:r>
        <w:rPr>
          <w:rFonts w:ascii="Times New Roman" w:hAnsi="Times New Roman" w:eastAsia="方正仿宋_GBK" w:cs="Times New Roman"/>
          <w:bCs/>
          <w:sz w:val="32"/>
          <w:szCs w:val="32"/>
          <w:highlight w:val="none"/>
        </w:rPr>
        <w:t>）</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八、</w:t>
      </w:r>
      <w:r>
        <w:rPr>
          <w:rFonts w:ascii="Times New Roman" w:hAnsi="Times New Roman" w:eastAsia="方正仿宋_GBK" w:cs="Times New Roman"/>
          <w:bCs/>
          <w:sz w:val="32"/>
          <w:szCs w:val="32"/>
          <w:highlight w:val="none"/>
        </w:rPr>
        <w:t>受让人须设立《建设项目用地信息公示牌》（详见附件</w:t>
      </w:r>
      <w:r>
        <w:rPr>
          <w:rFonts w:hint="eastAsia" w:ascii="Times New Roman" w:hAnsi="Times New Roman" w:eastAsia="方正仿宋_GBK" w:cs="Times New Roman"/>
          <w:bCs/>
          <w:sz w:val="32"/>
          <w:szCs w:val="32"/>
          <w:highlight w:val="none"/>
          <w:lang w:val="en-US" w:eastAsia="zh-CN"/>
        </w:rPr>
        <w:t>5</w:t>
      </w:r>
      <w:r>
        <w:rPr>
          <w:rFonts w:ascii="Times New Roman" w:hAnsi="Times New Roman" w:eastAsia="方正仿宋_GBK" w:cs="Times New Roman"/>
          <w:bCs/>
          <w:sz w:val="32"/>
          <w:szCs w:val="32"/>
          <w:highlight w:val="none"/>
        </w:rPr>
        <w:t>）方可申请交地。</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九、</w:t>
      </w:r>
      <w:r>
        <w:rPr>
          <w:rFonts w:ascii="Times New Roman" w:hAnsi="Times New Roman" w:eastAsia="方正仿宋_GBK" w:cs="Times New Roman"/>
          <w:bCs/>
          <w:sz w:val="32"/>
          <w:szCs w:val="32"/>
          <w:highlight w:val="none"/>
        </w:rPr>
        <w:t>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highlight w:val="none"/>
          <w:lang w:val="en-US" w:eastAsia="zh-CN"/>
        </w:rPr>
        <w:t>6</w:t>
      </w:r>
      <w:r>
        <w:rPr>
          <w:rFonts w:ascii="Times New Roman" w:hAnsi="Times New Roman" w:eastAsia="方正仿宋_GBK" w:cs="Times New Roman"/>
          <w:bCs/>
          <w:sz w:val="32"/>
          <w:szCs w:val="32"/>
          <w:highlight w:val="none"/>
        </w:rPr>
        <w:t>）和《建设项目竣工申报书》（详见附件</w:t>
      </w: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Times New Roman" w:hAnsi="Times New Roman" w:eastAsia="方正仿宋_GBK" w:cs="Times New Roman"/>
          <w:bCs/>
          <w:kern w:val="2"/>
          <w:sz w:val="32"/>
          <w:szCs w:val="32"/>
          <w:highlight w:val="none"/>
          <w:lang w:val="en-US" w:eastAsia="zh-CN"/>
        </w:rPr>
        <w:t>十、</w:t>
      </w:r>
      <w:r>
        <w:rPr>
          <w:rFonts w:ascii="Times New Roman" w:hAnsi="Times New Roman" w:eastAsia="方正仿宋_GBK" w:cs="Times New Roman"/>
          <w:bCs/>
          <w:kern w:val="2"/>
          <w:sz w:val="32"/>
          <w:szCs w:val="32"/>
          <w:highlight w:val="none"/>
        </w:rPr>
        <w:t>合同价款缴费方式：缴费人可通过四川省电子税务局或到资阳市雁江区政务服务中心税务窗口缴纳。</w:t>
      </w: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出让人（章）：</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受让人（章）：</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法定代表人（委托代理人）</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法定代表人</w:t>
      </w:r>
      <w:r>
        <w:rPr>
          <w:rFonts w:hint="eastAsia" w:ascii="Times New Roman" w:hAnsi="方正仿宋_GBK" w:eastAsia="方正仿宋_GBK" w:cs="Times New Roman"/>
          <w:kern w:val="2"/>
          <w:sz w:val="32"/>
          <w:szCs w:val="32"/>
          <w:highlight w:val="none"/>
          <w:lang w:eastAsia="zh-CN"/>
        </w:rPr>
        <w:t>（</w:t>
      </w:r>
      <w:r>
        <w:rPr>
          <w:rFonts w:ascii="Times New Roman" w:hAnsi="方正仿宋_GBK" w:eastAsia="方正仿宋_GBK" w:cs="Times New Roman"/>
          <w:kern w:val="2"/>
          <w:sz w:val="32"/>
          <w:szCs w:val="32"/>
          <w:highlight w:val="none"/>
        </w:rPr>
        <w:t>委托代理人</w:t>
      </w:r>
      <w:r>
        <w:rPr>
          <w:rFonts w:hint="eastAsia" w:ascii="Times New Roman" w:hAnsi="方正仿宋_GBK" w:eastAsia="方正仿宋_GBK" w:cs="Times New Roman"/>
          <w:kern w:val="2"/>
          <w:sz w:val="32"/>
          <w:szCs w:val="32"/>
          <w:highlight w:val="none"/>
          <w:lang w:eastAsia="zh-CN"/>
        </w:rPr>
        <w:t>）</w:t>
      </w:r>
      <w:r>
        <w:rPr>
          <w:rFonts w:ascii="Times New Roman" w:hAnsi="方正仿宋_GBK" w:eastAsia="方正仿宋_GBK" w:cs="Times New Roman"/>
          <w:kern w:val="2"/>
          <w:sz w:val="32"/>
          <w:szCs w:val="32"/>
          <w:highlight w:val="none"/>
        </w:rPr>
        <w:t>：</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（签字）：</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（签字）：</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ind w:firstLine="2880" w:firstLineChars="9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二〇二二</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日</w:t>
      </w:r>
    </w:p>
    <w:p>
      <w:pPr>
        <w:pStyle w:val="20"/>
        <w:ind w:firstLine="0" w:firstLineChars="0"/>
        <w:rPr>
          <w:highlight w:val="none"/>
        </w:rPr>
      </w:pPr>
    </w:p>
    <w:p>
      <w:pPr>
        <w:rPr>
          <w:rFonts w:ascii="Times New Roman" w:hAnsi="Times New Roman" w:eastAsia="方正黑体_GBK" w:cs="Times New Roman"/>
          <w:sz w:val="32"/>
          <w:szCs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黑体_GBK" w:cs="Times New Roman"/>
          <w:sz w:val="32"/>
          <w:szCs w:val="32"/>
          <w:highlight w:val="none"/>
        </w:rPr>
        <w:t>附件1</w:t>
      </w:r>
    </w:p>
    <w:p>
      <w:pPr>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3" o:spid="_x0000_s2141" o:spt="203" style="position:absolute;left:0pt;margin-left:0pt;margin-top:0pt;height:390pt;width:414pt;mso-position-horizontal-relative:char;mso-position-vertical-relative:line;z-index:251668480;mso-width-relative:page;mso-height-relative:pag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42"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43"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2144"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45"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20"/>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pict>
          <v:shape id="_x0000_s2086" o:spid="_x0000_s2086" o:spt="202" type="#_x0000_t202" style="position:absolute;left:0pt;margin-left:324pt;margin-top:478.85pt;height:39pt;width:144pt;z-index:251662336;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highlight w:val="none"/>
        </w:rPr>
        <w:pict>
          <v:shape id="_x0000_s2085" o:spid="_x0000_s2085" o:spt="202" type="#_x0000_t202" style="position:absolute;left:0pt;margin-left:-17.25pt;margin-top:265.2pt;height:179.65pt;width:45pt;z-index:251661312;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highlight w:val="none"/>
        </w:rPr>
        <w:pict>
          <v:line id="_x0000_s2084" o:spid="_x0000_s2084" o:spt="20" style="position:absolute;left:0pt;margin-left:-18.85pt;margin-top:277.05pt;height:141.75pt;width:0.05pt;z-index:251660288;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Times New Roman" w:eastAsia="方正小标宋_GBK" w:cs="Times New Roman"/>
          <w:sz w:val="44"/>
          <w:szCs w:val="44"/>
          <w:highlight w:val="none"/>
        </w:rPr>
        <w:t>出让宗地竖向界限</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4" o:spid="_x0000_s2146" o:spt="203" style="position:absolute;left:0pt;margin-left:0pt;margin-top:0pt;height:483.6pt;width:450pt;mso-position-horizontal-relative:char;mso-position-vertical-relative:line;z-index:251669504;mso-width-relative:page;mso-height-relative:pag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47"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48"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49"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50"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51"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52"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53"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54"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55"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56"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57"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158"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159"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160"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161"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162"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163"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164"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165"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166"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167"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168"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169"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170"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171"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172"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173"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174"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175"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176"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177"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178"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_x0000_s2179" o:spid="_x0000_s2179"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附件3</w:t>
      </w: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w:t>
      </w:r>
      <w:r>
        <w:rPr>
          <w:rFonts w:hint="eastAsia" w:ascii="Times New Roman" w:hAnsi="Times New Roman" w:eastAsia="方正仿宋_GBK" w:cs="Times New Roman"/>
          <w:sz w:val="32"/>
          <w:highlight w:val="none"/>
          <w:lang w:eastAsia="zh-CN"/>
        </w:rPr>
        <w:t>（</w:t>
      </w:r>
      <w:r>
        <w:rPr>
          <w:rFonts w:ascii="Times New Roman" w:hAnsi="Times New Roman" w:eastAsia="方正仿宋_GBK" w:cs="Times New Roman"/>
          <w:sz w:val="32"/>
          <w:highlight w:val="none"/>
        </w:rPr>
        <w:t>县</w:t>
      </w:r>
      <w:r>
        <w:rPr>
          <w:rFonts w:hint="eastAsia" w:ascii="Times New Roman" w:hAnsi="Times New Roman" w:eastAsia="方正仿宋_GBK" w:cs="Times New Roman"/>
          <w:sz w:val="32"/>
          <w:highlight w:val="none"/>
          <w:lang w:eastAsia="zh-CN"/>
        </w:rPr>
        <w:t>）</w:t>
      </w:r>
      <w:r>
        <w:rPr>
          <w:rFonts w:ascii="Times New Roman" w:hAnsi="Times New Roman" w:eastAsia="方正仿宋_GBK" w:cs="Times New Roman"/>
          <w:sz w:val="32"/>
          <w:highlight w:val="none"/>
        </w:rPr>
        <w:t>政府规划管理部门确定的出让宗地规划条件</w:t>
      </w:r>
    </w:p>
    <w:p>
      <w:pPr>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pStyle w:val="21"/>
        <w:ind w:firstLine="210"/>
        <w:rPr>
          <w:highlight w:val="none"/>
        </w:rPr>
      </w:pPr>
    </w:p>
    <w:p>
      <w:pPr>
        <w:pStyle w:val="21"/>
        <w:ind w:firstLine="210"/>
        <w:rPr>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附件4</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国有建设用地使用权出让合同（示范文本）</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一、条款原文：第五条，本合同项下出让宗地的用途为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释义：出让宗地的用途按照《国土空间调查、规划、用途管制用地用海分类指南（试行）》规定的土地二级类填写。</w:t>
      </w:r>
    </w:p>
    <w:p>
      <w:pPr>
        <w:pStyle w:val="7"/>
        <w:spacing w:line="600" w:lineRule="exact"/>
        <w:ind w:firstLine="640" w:firstLineChars="200"/>
        <w:rPr>
          <w:rFonts w:ascii="Times New Roman" w:hAnsi="Times New Roman" w:eastAsia="方正仿宋_GBK" w:cs="Times New Roman"/>
          <w:kern w:val="0"/>
          <w:sz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sz w:val="32"/>
          <w:szCs w:val="32"/>
          <w:highlight w:val="none"/>
        </w:rPr>
        <w:t>、</w:t>
      </w:r>
      <w:r>
        <w:rPr>
          <w:rFonts w:ascii="Times New Roman" w:hAnsi="Times New Roman" w:eastAsia="方正仿宋_GBK" w:cs="Times New Roman"/>
          <w:sz w:val="32"/>
          <w:highlight w:val="none"/>
        </w:rPr>
        <w:t>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三</w:t>
      </w:r>
      <w:r>
        <w:rPr>
          <w:rFonts w:ascii="Times New Roman" w:hAnsi="Times New Roman" w:eastAsia="方正仿宋_GBK" w:cs="Times New Roman"/>
          <w:sz w:val="32"/>
          <w:szCs w:val="32"/>
          <w:highlight w:val="none"/>
        </w:rPr>
        <w:t>、条款原文：第</w:t>
      </w:r>
      <w:r>
        <w:rPr>
          <w:rFonts w:hint="eastAsia" w:ascii="Times New Roman" w:hAnsi="Times New Roman" w:eastAsia="方正仿宋_GBK" w:cs="Times New Roman"/>
          <w:sz w:val="32"/>
          <w:szCs w:val="32"/>
          <w:highlight w:val="none"/>
        </w:rPr>
        <w:t>十二</w:t>
      </w:r>
      <w:r>
        <w:rPr>
          <w:rFonts w:ascii="Times New Roman" w:hAnsi="Times New Roman" w:eastAsia="方正仿宋_GBK" w:cs="Times New Roman"/>
          <w:sz w:val="32"/>
          <w:szCs w:val="32"/>
          <w:highlight w:val="none"/>
        </w:rPr>
        <w:t>条，</w:t>
      </w:r>
      <w:r>
        <w:rPr>
          <w:rFonts w:ascii="Times New Roman" w:hAnsi="Times New Roman" w:eastAsia="方正仿宋_GBK" w:cs="Times New Roman"/>
          <w:sz w:val="32"/>
          <w:highlight w:val="none"/>
        </w:rPr>
        <w:t>受让人同意本合同项下宗地用于工业项目建设</w:t>
      </w:r>
      <w:r>
        <w:rPr>
          <w:rFonts w:ascii="Times New Roman" w:hAnsi="Times New Roman" w:eastAsia="方正仿宋_GBK" w:cs="Times New Roman"/>
          <w:sz w:val="32"/>
          <w:szCs w:val="32"/>
          <w:highlight w:val="none"/>
        </w:rPr>
        <w:t>，受让人同意本合同项下宗地的项目固定资产总投资不低于经批准或登记备案的金额人民币大写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万元），投资强度不低于每平方米人民币大写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释义：固定资产总投资和投资强度的核定，以行业主管部门核定结果为准。</w:t>
      </w:r>
    </w:p>
    <w:p>
      <w:pPr>
        <w:pStyle w:val="7"/>
        <w:ind w:firstLine="645"/>
        <w:rPr>
          <w:rFonts w:ascii="Times New Roman" w:hAnsi="Times New Roman" w:eastAsia="方正仿宋_GBK" w:cs="Times New Roman"/>
          <w:sz w:val="32"/>
          <w:highlight w:val="none"/>
          <w:u w:val="single"/>
        </w:rPr>
      </w:pPr>
      <w:r>
        <w:rPr>
          <w:rFonts w:hint="eastAsia" w:ascii="Times New Roman" w:hAnsi="Times New Roman" w:eastAsia="方正仿宋_GBK" w:cs="Times New Roman"/>
          <w:sz w:val="32"/>
          <w:highlight w:val="none"/>
          <w:lang w:val="en-US" w:eastAsia="zh-CN"/>
        </w:rPr>
        <w:t>四</w:t>
      </w:r>
      <w:r>
        <w:rPr>
          <w:rFonts w:ascii="Times New Roman" w:hAnsi="Times New Roman" w:eastAsia="方正仿宋_GBK" w:cs="Times New Roman"/>
          <w:sz w:val="32"/>
          <w:highlight w:val="none"/>
        </w:rPr>
        <w:t>、条款原文：第</w:t>
      </w:r>
      <w:r>
        <w:rPr>
          <w:rFonts w:hint="eastAsia" w:ascii="Times New Roman" w:hAnsi="Times New Roman" w:eastAsia="方正仿宋_GBK" w:cs="Times New Roman"/>
          <w:sz w:val="32"/>
          <w:highlight w:val="none"/>
        </w:rPr>
        <w:t>十五</w:t>
      </w:r>
      <w:r>
        <w:rPr>
          <w:rFonts w:ascii="Times New Roman" w:hAnsi="Times New Roman" w:eastAsia="方正仿宋_GBK" w:cs="Times New Roman"/>
          <w:sz w:val="32"/>
          <w:highlight w:val="none"/>
        </w:rPr>
        <w:t>条，受让人同意本合同项下宗地建设项目在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日之前开工，在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日之前竣工。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五</w:t>
      </w:r>
      <w:r>
        <w:rPr>
          <w:rFonts w:ascii="Times New Roman" w:hAnsi="Times New Roman" w:eastAsia="方正仿宋_GBK" w:cs="Times New Roman"/>
          <w:sz w:val="32"/>
          <w:szCs w:val="32"/>
          <w:highlight w:val="none"/>
        </w:rPr>
        <w:t>、条款原文：第三十</w:t>
      </w:r>
      <w:r>
        <w:rPr>
          <w:rFonts w:hint="eastAsia" w:ascii="Times New Roman" w:hAnsi="Times New Roman" w:eastAsia="方正仿宋_GBK" w:cs="Times New Roman"/>
          <w:sz w:val="32"/>
          <w:szCs w:val="32"/>
          <w:highlight w:val="none"/>
          <w:lang w:val="en-US" w:eastAsia="zh-CN"/>
        </w:rPr>
        <w:t>四</w:t>
      </w:r>
      <w:r>
        <w:rPr>
          <w:rFonts w:ascii="Times New Roman" w:hAnsi="Times New Roman" w:eastAsia="方正仿宋_GBK" w:cs="Times New Roman"/>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br w:type="page"/>
      </w:r>
    </w:p>
    <w:p>
      <w:pPr>
        <w:rPr>
          <w:rFonts w:hint="default" w:ascii="Times New Roman" w:hAnsi="Times New Roman" w:eastAsia="方正黑体简体" w:cs="Times New Roman"/>
          <w:b/>
          <w:bCs/>
          <w:sz w:val="32"/>
          <w:szCs w:val="32"/>
          <w:highlight w:val="none"/>
          <w:u w:val="single"/>
        </w:rPr>
      </w:pPr>
      <w:r>
        <w:rPr>
          <w:rFonts w:hint="default" w:ascii="Times New Roman" w:hAnsi="Times New Roman" w:eastAsia="方正黑体简体"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4"/>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spacing w:line="390" w:lineRule="exact"/>
        <w:ind w:firstLine="600" w:firstLineChars="200"/>
        <w:rPr>
          <w:rFonts w:ascii="Times New Roman" w:hAnsi="Times New Roman" w:eastAsia="方正仿宋_GBK" w:cs="Times New Roman"/>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资阳市自然资源和规划局：</w:t>
      </w:r>
    </w:p>
    <w:p>
      <w:pPr>
        <w:spacing w:line="540" w:lineRule="exact"/>
        <w:ind w:firstLine="645"/>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ind w:right="640"/>
        <w:jc w:val="right"/>
        <w:rPr>
          <w:rFonts w:ascii="Times New Roman" w:hAnsi="Times New Roman" w:eastAsia="方正仿宋_GBK" w:cs="Times New Roman"/>
          <w:sz w:val="32"/>
          <w:szCs w:val="32"/>
          <w:highlight w:val="none"/>
        </w:rPr>
      </w:pPr>
    </w:p>
    <w:p>
      <w:pPr>
        <w:spacing w:line="54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right="640" w:firstLine="5920" w:firstLineChars="1850"/>
        <w:rPr>
          <w:rFonts w:ascii="Times New Roman" w:hAnsi="Times New Roman" w:eastAsia="方正仿宋_GBK" w:cs="Times New Roman"/>
          <w:sz w:val="32"/>
          <w:szCs w:val="32"/>
          <w:highlight w:val="none"/>
        </w:rPr>
      </w:pPr>
    </w:p>
    <w:p>
      <w:pPr>
        <w:spacing w:line="54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60" w:lineRule="exact"/>
        <w:ind w:right="32"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注：若无电子监管号，应填写合同号或划拨决定书编号；本申报书由资阳市自然资源和规划局建设用地监督管理科负责受理。</w:t>
      </w:r>
    </w:p>
    <w:p>
      <w:pP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资阳市自然资源和</w:t>
      </w:r>
      <w:r>
        <w:rPr>
          <w:rFonts w:hint="eastAsia" w:ascii="方正仿宋简体" w:hAnsi="方正仿宋简体" w:eastAsia="方正仿宋简体" w:cs="方正仿宋简体"/>
          <w:sz w:val="32"/>
          <w:szCs w:val="32"/>
          <w:highlight w:val="none"/>
        </w:rPr>
        <w:t>规划局</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），宗地位置为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，面积为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平方米，约定竣工日期为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，土地权利证号</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我方在上述宗地建设了</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开发项目，拟于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特此申报。</w:t>
      </w:r>
    </w:p>
    <w:p>
      <w:pPr>
        <w:spacing w:line="560" w:lineRule="exact"/>
        <w:ind w:right="640"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          联系电话:           ）</w:t>
      </w:r>
    </w:p>
    <w:p>
      <w:pPr>
        <w:spacing w:line="560" w:lineRule="exact"/>
        <w:ind w:right="640"/>
        <w:jc w:val="right"/>
        <w:rPr>
          <w:rFonts w:ascii="Times New Roman" w:hAnsi="Times New Roman" w:eastAsia="方正仿宋简体" w:cs="Times New Roman"/>
          <w:sz w:val="32"/>
          <w:szCs w:val="32"/>
          <w:highlight w:val="none"/>
        </w:rPr>
      </w:pPr>
    </w:p>
    <w:p>
      <w:pPr>
        <w:spacing w:line="560" w:lineRule="exact"/>
        <w:ind w:right="1280"/>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sz w:val="32"/>
          <w:szCs w:val="32"/>
          <w:highlight w:val="none"/>
        </w:rPr>
      </w:pPr>
    </w:p>
    <w:p>
      <w:pPr>
        <w:spacing w:line="560" w:lineRule="exact"/>
        <w:ind w:right="480" w:firstLine="645"/>
        <w:jc w:val="righ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年  月  日</w:t>
      </w:r>
    </w:p>
    <w:p>
      <w:pPr>
        <w:spacing w:line="560" w:lineRule="exact"/>
        <w:rPr>
          <w:rFonts w:ascii="Times New Roman" w:hAnsi="Times New Roman" w:eastAsia="方正仿宋简体" w:cs="Times New Roman"/>
          <w:b/>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简体" w:cs="Times New Roman"/>
          <w:sz w:val="32"/>
          <w:szCs w:val="32"/>
          <w:highlight w:val="none"/>
        </w:rPr>
        <w:t>注：若无电子监管号，应填写合同号或划拨决定书编号；本申报书由</w:t>
      </w:r>
      <w:r>
        <w:rPr>
          <w:rFonts w:hint="eastAsia" w:ascii="Times New Roman" w:hAnsi="Times New Roman" w:eastAsia="方正仿宋简体" w:cs="Times New Roman"/>
          <w:sz w:val="32"/>
          <w:szCs w:val="32"/>
          <w:highlight w:val="none"/>
        </w:rPr>
        <w:t>资阳</w:t>
      </w:r>
      <w:r>
        <w:rPr>
          <w:rFonts w:ascii="Times New Roman" w:hAnsi="Times New Roman" w:eastAsia="方正仿宋简体" w:cs="Times New Roman"/>
          <w:sz w:val="32"/>
          <w:szCs w:val="32"/>
          <w:highlight w:val="none"/>
        </w:rPr>
        <w:t>市</w:t>
      </w:r>
      <w:r>
        <w:rPr>
          <w:rFonts w:hint="eastAsia" w:ascii="Times New Roman" w:hAnsi="Times New Roman" w:eastAsia="方正仿宋简体" w:cs="Times New Roman"/>
          <w:sz w:val="32"/>
          <w:szCs w:val="32"/>
          <w:highlight w:val="none"/>
        </w:rPr>
        <w:t>自</w:t>
      </w:r>
      <w:r>
        <w:rPr>
          <w:rFonts w:hint="eastAsia" w:ascii="方正仿宋简体" w:hAnsi="方正仿宋简体" w:eastAsia="方正仿宋简体" w:cs="方正仿宋简体"/>
          <w:sz w:val="32"/>
          <w:szCs w:val="32"/>
          <w:highlight w:val="none"/>
        </w:rPr>
        <w:t>然资源和规划局建设用地监督管理科负责受理</w:t>
      </w:r>
      <w:r>
        <w:rPr>
          <w:rFonts w:ascii="Times New Roman" w:hAnsi="Times New Roman" w:eastAsia="方正仿宋_GBK" w:cs="Times New Roman"/>
          <w:sz w:val="32"/>
          <w:szCs w:val="32"/>
          <w:highlight w:val="none"/>
        </w:rPr>
        <w:t>。</w:t>
      </w:r>
    </w:p>
    <w:p>
      <w:pPr>
        <w:pStyle w:val="2"/>
        <w:rPr>
          <w:rFonts w:ascii="Times New Roman" w:hAnsi="Times New Roman" w:eastAsia="方正仿宋_GBK" w:cs="Times New Roman"/>
          <w:sz w:val="32"/>
          <w:szCs w:val="32"/>
          <w:highlight w:val="none"/>
        </w:rPr>
      </w:pPr>
    </w:p>
    <w:p>
      <w:pPr>
        <w:jc w:val="left"/>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w:t>附件8</w:t>
      </w:r>
    </w:p>
    <w:p>
      <w:pPr>
        <w:jc w:val="center"/>
        <w:rPr>
          <w:rFonts w:hint="eastAsia" w:ascii="Times New Roman" w:hAnsi="Times New Roman" w:eastAsia="方正小标宋_GBK" w:cs="Times New Roman"/>
          <w:kern w:val="0"/>
          <w:sz w:val="44"/>
          <w:szCs w:val="44"/>
          <w:highlight w:val="none"/>
        </w:rPr>
      </w:pPr>
      <w:r>
        <w:rPr>
          <w:rFonts w:hint="eastAsia" w:ascii="Times New Roman" w:hAnsi="Times New Roman" w:eastAsia="方正小标宋_GBK" w:cs="Times New Roman"/>
          <w:kern w:val="0"/>
          <w:sz w:val="44"/>
          <w:szCs w:val="44"/>
          <w:highlight w:val="none"/>
        </w:rPr>
        <w:t>交 地 申 请</w:t>
      </w:r>
    </w:p>
    <w:p>
      <w:pPr>
        <w:jc w:val="center"/>
        <w:rPr>
          <w:rFonts w:hint="eastAsia" w:ascii="仿宋" w:hAnsi="仿宋" w:eastAsia="仿宋"/>
          <w:sz w:val="32"/>
          <w:szCs w:val="32"/>
          <w:highlight w:val="none"/>
        </w:rPr>
      </w:pPr>
      <w:r>
        <w:rPr>
          <w:rFonts w:hint="eastAsia" w:ascii="仿宋" w:hAnsi="仿宋" w:eastAsia="仿宋"/>
          <w:sz w:val="32"/>
          <w:szCs w:val="32"/>
          <w:highlight w:val="none"/>
        </w:rPr>
        <w:t xml:space="preserve">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资阳市自然资源和规划局：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我方</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年</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月</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日以</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（拍卖/挂牌/划拨）方式取得的国有建设用地使用权□出让合同∕□划拨决定书（□出让合同号∕□划拨决定书编号∕□电子监管号为</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），地块面积</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平方米，地块位于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,地块用途</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，现已全额缴清国有建设用地使用权土地总价款</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万元，建设项目用地信息公示牌已设置完成。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eastAsia="方正仿宋简体"/>
          <w:sz w:val="32"/>
          <w:szCs w:val="32"/>
          <w:highlight w:val="none"/>
        </w:rPr>
      </w:pPr>
      <w:r>
        <w:rPr>
          <w:rFonts w:hint="eastAsia" w:ascii="方正仿宋简体" w:hAnsi="方正仿宋简体" w:eastAsia="方正仿宋简体" w:cs="方正仿宋简体"/>
          <w:sz w:val="32"/>
          <w:szCs w:val="32"/>
          <w:highlight w:val="none"/>
        </w:rPr>
        <w:t>特此申请交地。</w:t>
      </w:r>
    </w:p>
    <w:p>
      <w:pPr>
        <w:keepNext w:val="0"/>
        <w:keepLines w:val="0"/>
        <w:pageBreakBefore w:val="0"/>
        <w:widowControl w:val="0"/>
        <w:kinsoku/>
        <w:wordWrap/>
        <w:overflowPunct/>
        <w:topLinePunct w:val="0"/>
        <w:autoSpaceDE/>
        <w:autoSpaceDN/>
        <w:bidi w:val="0"/>
        <w:adjustRightInd/>
        <w:snapToGrid/>
        <w:spacing w:line="560" w:lineRule="exact"/>
        <w:ind w:right="640" w:firstLine="640" w:firstLineChars="200"/>
        <w:textAlignment w:val="auto"/>
        <w:rPr>
          <w:rFonts w:hint="eastAsia" w:eastAsia="方正仿宋简体"/>
          <w:sz w:val="32"/>
          <w:szCs w:val="32"/>
          <w:highlight w:val="none"/>
        </w:rPr>
      </w:pPr>
      <w:r>
        <w:rPr>
          <w:rFonts w:eastAsia="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（联系人：          联系电话: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lang w:val="en-US" w:eastAsia="zh-CN"/>
        </w:rPr>
        <w:t xml:space="preserve"> </w:t>
      </w:r>
      <w:r>
        <w:rPr>
          <w:rFonts w:hint="eastAsia" w:ascii="方正仿宋简体" w:hAnsi="方正仿宋简体" w:eastAsia="方正仿宋简体" w:cs="方正仿宋简体"/>
          <w:sz w:val="32"/>
          <w:szCs w:val="32"/>
          <w:highlight w:val="none"/>
        </w:rPr>
        <w:t>单位（印章）/个人：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年  月  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highlight w:val="none"/>
        </w:rPr>
      </w:pPr>
      <w:r>
        <w:rPr>
          <w:rFonts w:hint="eastAsia" w:ascii="方正仿宋简体" w:hAnsi="方正仿宋简体" w:eastAsia="方正仿宋简体" w:cs="方正仿宋简体"/>
          <w:sz w:val="32"/>
          <w:szCs w:val="32"/>
          <w:highlight w:val="none"/>
        </w:rPr>
        <w:t>注：本申请书由资阳市自然资源和规划局雁江区国土资源分局负责受理</w:t>
      </w:r>
      <w:r>
        <w:rPr>
          <w:rFonts w:hint="eastAsia" w:ascii="方正仿宋简体" w:hAnsi="方正仿宋简体" w:eastAsia="方正仿宋简体" w:cs="方正仿宋简体"/>
          <w:sz w:val="32"/>
          <w:szCs w:val="32"/>
          <w:highlight w:val="none"/>
          <w:lang w:eastAsia="zh-CN"/>
        </w:rPr>
        <w:t>。</w:t>
      </w:r>
    </w:p>
    <w:sectPr>
      <w:footerReference r:id="rId7" w:type="first"/>
      <w:footerReference r:id="rId5" w:type="default"/>
      <w:footerReference r:id="rId6" w:type="even"/>
      <w:pgSz w:w="11907" w:h="16840"/>
      <w:pgMar w:top="2098" w:right="1474" w:bottom="1985" w:left="1588" w:header="851" w:footer="1247" w:gutter="0"/>
      <w:pgNumType w:fmt="numberInDash"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74" o:spid="_x0000_s3074" o:spt="202" type="#_x0000_t202" style="position:absolute;left:0pt;margin-top:0pt;height:144pt;width:144pt;mso-position-horizontal:outside;mso-position-horizontal-relative:margin;mso-wrap-style:none;z-index:251666432;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7456;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82" o:spid="_x0000_s3082" o:spt="202" type="#_x0000_t202" style="position:absolute;left:0pt;margin-top:0pt;height:144pt;width:144pt;mso-position-horizontal:outside;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11"/>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75" o:spid="_x0000_s3075"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614ED"/>
    <w:multiLevelType w:val="singleLevel"/>
    <w:tmpl w:val="DE4614ED"/>
    <w:lvl w:ilvl="0" w:tentative="0">
      <w:start w:val="2"/>
      <w:numFmt w:val="chineseCounting"/>
      <w:suff w:val="nothing"/>
      <w:lvlText w:val="%1、"/>
      <w:lvlJc w:val="left"/>
      <w:rPr>
        <w:rFonts w:hint="eastAsia"/>
      </w:rPr>
    </w:lvl>
  </w:abstractNum>
  <w:abstractNum w:abstractNumId="1">
    <w:nsid w:val="2C5AA5B0"/>
    <w:multiLevelType w:val="singleLevel"/>
    <w:tmpl w:val="2C5AA5B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8D5D0E"/>
    <w:rsid w:val="033326EE"/>
    <w:rsid w:val="038463D3"/>
    <w:rsid w:val="04D754D4"/>
    <w:rsid w:val="0569782A"/>
    <w:rsid w:val="05893243"/>
    <w:rsid w:val="069C6FFA"/>
    <w:rsid w:val="06BF298E"/>
    <w:rsid w:val="07900C0F"/>
    <w:rsid w:val="086D3F47"/>
    <w:rsid w:val="088C4A94"/>
    <w:rsid w:val="088F0A35"/>
    <w:rsid w:val="08EB1D4F"/>
    <w:rsid w:val="0C2E1E1F"/>
    <w:rsid w:val="0C4D23C7"/>
    <w:rsid w:val="0C663829"/>
    <w:rsid w:val="0D625445"/>
    <w:rsid w:val="0D7927FF"/>
    <w:rsid w:val="0E39613C"/>
    <w:rsid w:val="10595C76"/>
    <w:rsid w:val="11485C66"/>
    <w:rsid w:val="122C1CBB"/>
    <w:rsid w:val="124D4CCD"/>
    <w:rsid w:val="12BD5A3D"/>
    <w:rsid w:val="12F64446"/>
    <w:rsid w:val="135E2A3D"/>
    <w:rsid w:val="136B08EA"/>
    <w:rsid w:val="1431136E"/>
    <w:rsid w:val="14A12470"/>
    <w:rsid w:val="14D541F1"/>
    <w:rsid w:val="165C0EA7"/>
    <w:rsid w:val="16626976"/>
    <w:rsid w:val="16C7354F"/>
    <w:rsid w:val="172B0CB3"/>
    <w:rsid w:val="173C0460"/>
    <w:rsid w:val="17E80D2B"/>
    <w:rsid w:val="1886361C"/>
    <w:rsid w:val="18936FA0"/>
    <w:rsid w:val="19516B0C"/>
    <w:rsid w:val="19774C43"/>
    <w:rsid w:val="19820B2C"/>
    <w:rsid w:val="19FF42D4"/>
    <w:rsid w:val="1A383DBB"/>
    <w:rsid w:val="1A42145A"/>
    <w:rsid w:val="1A495196"/>
    <w:rsid w:val="1A5B2726"/>
    <w:rsid w:val="1B7517BC"/>
    <w:rsid w:val="1BB642C5"/>
    <w:rsid w:val="1C1B5042"/>
    <w:rsid w:val="1DA47355"/>
    <w:rsid w:val="1EB36E82"/>
    <w:rsid w:val="1ECF724E"/>
    <w:rsid w:val="1ED44063"/>
    <w:rsid w:val="20687659"/>
    <w:rsid w:val="21CC5485"/>
    <w:rsid w:val="23947574"/>
    <w:rsid w:val="2441261B"/>
    <w:rsid w:val="24B37025"/>
    <w:rsid w:val="24D23B91"/>
    <w:rsid w:val="250476C6"/>
    <w:rsid w:val="25B06DFF"/>
    <w:rsid w:val="261C3F2B"/>
    <w:rsid w:val="268C2687"/>
    <w:rsid w:val="26B35637"/>
    <w:rsid w:val="27605CAB"/>
    <w:rsid w:val="277E2734"/>
    <w:rsid w:val="28AC7DA4"/>
    <w:rsid w:val="28E9245E"/>
    <w:rsid w:val="29C35E28"/>
    <w:rsid w:val="2A717B23"/>
    <w:rsid w:val="2B1E0542"/>
    <w:rsid w:val="2B8D56E8"/>
    <w:rsid w:val="2C164D9C"/>
    <w:rsid w:val="2C5E7DCD"/>
    <w:rsid w:val="2CA34E99"/>
    <w:rsid w:val="2D07249B"/>
    <w:rsid w:val="2D63143F"/>
    <w:rsid w:val="2EB56E6C"/>
    <w:rsid w:val="2F4E0533"/>
    <w:rsid w:val="2FD615CF"/>
    <w:rsid w:val="30290B9F"/>
    <w:rsid w:val="302E4D03"/>
    <w:rsid w:val="309324EF"/>
    <w:rsid w:val="31E13856"/>
    <w:rsid w:val="31E415C0"/>
    <w:rsid w:val="32622210"/>
    <w:rsid w:val="33334C7E"/>
    <w:rsid w:val="344C720B"/>
    <w:rsid w:val="34C56131"/>
    <w:rsid w:val="35E536C5"/>
    <w:rsid w:val="36A37D52"/>
    <w:rsid w:val="36BB0EB2"/>
    <w:rsid w:val="36E708B7"/>
    <w:rsid w:val="372322BD"/>
    <w:rsid w:val="382E3544"/>
    <w:rsid w:val="38BD6EE0"/>
    <w:rsid w:val="39A03D95"/>
    <w:rsid w:val="3BE56581"/>
    <w:rsid w:val="3C9408F4"/>
    <w:rsid w:val="3CDF6D17"/>
    <w:rsid w:val="3D424389"/>
    <w:rsid w:val="3DA23A70"/>
    <w:rsid w:val="3DD33D47"/>
    <w:rsid w:val="3ED15AED"/>
    <w:rsid w:val="3EFF947B"/>
    <w:rsid w:val="3F583719"/>
    <w:rsid w:val="3F6E5686"/>
    <w:rsid w:val="3F9B3E21"/>
    <w:rsid w:val="3FB069E3"/>
    <w:rsid w:val="3FB20485"/>
    <w:rsid w:val="3FFEFC91"/>
    <w:rsid w:val="41355CFD"/>
    <w:rsid w:val="41BC433E"/>
    <w:rsid w:val="42131322"/>
    <w:rsid w:val="42953B70"/>
    <w:rsid w:val="431752F8"/>
    <w:rsid w:val="441F65D0"/>
    <w:rsid w:val="44313EC6"/>
    <w:rsid w:val="44487704"/>
    <w:rsid w:val="45455DB6"/>
    <w:rsid w:val="45A34C72"/>
    <w:rsid w:val="45B20A82"/>
    <w:rsid w:val="45EA507C"/>
    <w:rsid w:val="46F54FC1"/>
    <w:rsid w:val="46FE44B5"/>
    <w:rsid w:val="470F3817"/>
    <w:rsid w:val="47131E72"/>
    <w:rsid w:val="47536E12"/>
    <w:rsid w:val="48330274"/>
    <w:rsid w:val="48BD6141"/>
    <w:rsid w:val="48C47899"/>
    <w:rsid w:val="48CE1DB9"/>
    <w:rsid w:val="4A58647D"/>
    <w:rsid w:val="4B241C51"/>
    <w:rsid w:val="4B6F4BC8"/>
    <w:rsid w:val="4BA3159D"/>
    <w:rsid w:val="4C5C3CE0"/>
    <w:rsid w:val="4E2400EA"/>
    <w:rsid w:val="4E3D6E7B"/>
    <w:rsid w:val="4EA8302D"/>
    <w:rsid w:val="4F3B7CFD"/>
    <w:rsid w:val="4FD9197E"/>
    <w:rsid w:val="504A3BA1"/>
    <w:rsid w:val="50B53E67"/>
    <w:rsid w:val="50E2334A"/>
    <w:rsid w:val="52005535"/>
    <w:rsid w:val="522E0327"/>
    <w:rsid w:val="523A3AC8"/>
    <w:rsid w:val="524E7945"/>
    <w:rsid w:val="526249A6"/>
    <w:rsid w:val="52CA0FF4"/>
    <w:rsid w:val="541B6FAD"/>
    <w:rsid w:val="54590FDA"/>
    <w:rsid w:val="54DB791C"/>
    <w:rsid w:val="5503012E"/>
    <w:rsid w:val="556139AB"/>
    <w:rsid w:val="55964E80"/>
    <w:rsid w:val="579820F2"/>
    <w:rsid w:val="57DA15DE"/>
    <w:rsid w:val="584C34DF"/>
    <w:rsid w:val="58B611FE"/>
    <w:rsid w:val="59614AA7"/>
    <w:rsid w:val="5A5B3F3E"/>
    <w:rsid w:val="5AEF590A"/>
    <w:rsid w:val="5B083913"/>
    <w:rsid w:val="5BB01638"/>
    <w:rsid w:val="5C360F60"/>
    <w:rsid w:val="5C957D18"/>
    <w:rsid w:val="5CE42F7B"/>
    <w:rsid w:val="5D203E41"/>
    <w:rsid w:val="5E941DD8"/>
    <w:rsid w:val="5EAE135E"/>
    <w:rsid w:val="5F6B127E"/>
    <w:rsid w:val="5FDE3A9D"/>
    <w:rsid w:val="61326821"/>
    <w:rsid w:val="6138575B"/>
    <w:rsid w:val="616E1CFF"/>
    <w:rsid w:val="61D04529"/>
    <w:rsid w:val="62251EDD"/>
    <w:rsid w:val="62676A44"/>
    <w:rsid w:val="629A0A6D"/>
    <w:rsid w:val="6359557D"/>
    <w:rsid w:val="636F6760"/>
    <w:rsid w:val="638D4F33"/>
    <w:rsid w:val="63A62CFE"/>
    <w:rsid w:val="64814A19"/>
    <w:rsid w:val="64F11A20"/>
    <w:rsid w:val="655A2120"/>
    <w:rsid w:val="660E6EE7"/>
    <w:rsid w:val="665D43A5"/>
    <w:rsid w:val="666E1771"/>
    <w:rsid w:val="66855163"/>
    <w:rsid w:val="671C1C09"/>
    <w:rsid w:val="675845CC"/>
    <w:rsid w:val="6A6904F6"/>
    <w:rsid w:val="6AA352E1"/>
    <w:rsid w:val="6BF47FB4"/>
    <w:rsid w:val="6CD865C7"/>
    <w:rsid w:val="6CDB2998"/>
    <w:rsid w:val="6E542FB9"/>
    <w:rsid w:val="6EC74EB4"/>
    <w:rsid w:val="6ECB0206"/>
    <w:rsid w:val="6F241E8E"/>
    <w:rsid w:val="6F4F3B91"/>
    <w:rsid w:val="6F521EC6"/>
    <w:rsid w:val="6F6C6882"/>
    <w:rsid w:val="6FC57346"/>
    <w:rsid w:val="6FD6B83E"/>
    <w:rsid w:val="6FE239B4"/>
    <w:rsid w:val="70295008"/>
    <w:rsid w:val="70C34FD4"/>
    <w:rsid w:val="70CE1A1E"/>
    <w:rsid w:val="714D2D21"/>
    <w:rsid w:val="716A57DC"/>
    <w:rsid w:val="719377B5"/>
    <w:rsid w:val="71DE353F"/>
    <w:rsid w:val="729C0DB4"/>
    <w:rsid w:val="72D83CEB"/>
    <w:rsid w:val="73260939"/>
    <w:rsid w:val="74196E50"/>
    <w:rsid w:val="74716307"/>
    <w:rsid w:val="762D3F33"/>
    <w:rsid w:val="77FD4909"/>
    <w:rsid w:val="77FD59C7"/>
    <w:rsid w:val="794C0A87"/>
    <w:rsid w:val="796A7042"/>
    <w:rsid w:val="7B555B8F"/>
    <w:rsid w:val="7BB9309C"/>
    <w:rsid w:val="7C0D2CFF"/>
    <w:rsid w:val="7D0D5AF5"/>
    <w:rsid w:val="7D7C1735"/>
    <w:rsid w:val="7D8B5121"/>
    <w:rsid w:val="7E0D502B"/>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7"/>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6"/>
    <w:link w:val="12"/>
    <w:qFormat/>
    <w:uiPriority w:val="99"/>
    <w:rPr>
      <w:sz w:val="18"/>
      <w:szCs w:val="18"/>
    </w:rPr>
  </w:style>
  <w:style w:type="character" w:customStyle="1" w:styleId="23">
    <w:name w:val="页脚 Char"/>
    <w:basedOn w:val="16"/>
    <w:link w:val="11"/>
    <w:qFormat/>
    <w:uiPriority w:val="99"/>
    <w:rPr>
      <w:sz w:val="18"/>
      <w:szCs w:val="18"/>
    </w:rPr>
  </w:style>
  <w:style w:type="character" w:customStyle="1" w:styleId="24">
    <w:name w:val="标题 1 Char"/>
    <w:basedOn w:val="16"/>
    <w:link w:val="4"/>
    <w:qFormat/>
    <w:uiPriority w:val="0"/>
    <w:rPr>
      <w:rFonts w:ascii="宋体" w:hAnsi="宋体" w:eastAsia="宋体" w:cs="Times New Roman"/>
      <w:b/>
      <w:kern w:val="44"/>
      <w:sz w:val="48"/>
      <w:szCs w:val="48"/>
    </w:rPr>
  </w:style>
  <w:style w:type="character" w:customStyle="1" w:styleId="25">
    <w:name w:val="标题 4 Char"/>
    <w:basedOn w:val="16"/>
    <w:link w:val="5"/>
    <w:semiHidden/>
    <w:qFormat/>
    <w:uiPriority w:val="0"/>
    <w:rPr>
      <w:rFonts w:ascii="宋体" w:hAnsi="宋体" w:eastAsia="宋体" w:cs="Times New Roman"/>
      <w:b/>
      <w:kern w:val="0"/>
      <w:sz w:val="24"/>
      <w:szCs w:val="24"/>
    </w:rPr>
  </w:style>
  <w:style w:type="character" w:customStyle="1" w:styleId="26">
    <w:name w:val="正文文本 Char"/>
    <w:basedOn w:val="16"/>
    <w:link w:val="3"/>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customShpInfo spid="_x0000_s3073"/>
    <customShpInfo spid="_x0000_s3082" textRotate="1"/>
    <customShpInfo spid="_x0000_s3075"/>
    <customShpInfo spid="_x0000_s2094"/>
    <customShpInfo spid="_x0000_s2093"/>
    <customShpInfo spid="_x0000_s2092"/>
    <customShpInfo spid="_x0000_s2142"/>
    <customShpInfo spid="_x0000_s2143"/>
    <customShpInfo spid="_x0000_s2144"/>
    <customShpInfo spid="_x0000_s2145"/>
    <customShpInfo spid="_x0000_s2141"/>
    <customShpInfo spid="_x0000_s2086"/>
    <customShpInfo spid="_x0000_s2085"/>
    <customShpInfo spid="_x0000_s2084"/>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19746</Words>
  <Characters>20364</Characters>
  <Lines>165</Lines>
  <Paragraphs>46</Paragraphs>
  <TotalTime>0</TotalTime>
  <ScaleCrop>false</ScaleCrop>
  <LinksUpToDate>false</LinksUpToDate>
  <CharactersWithSpaces>22938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利用股</cp:lastModifiedBy>
  <cp:lastPrinted>2022-06-15T11:04:00Z</cp:lastPrinted>
  <dcterms:modified xsi:type="dcterms:W3CDTF">2022-08-22T01:45:31Z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