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159" w:leftChars="171" w:hanging="1800" w:hangingChars="500"/>
        <w:jc w:val="left"/>
        <w:rPr>
          <w:rFonts w:hint="eastAsia" w:ascii="方正小标宋_GBK"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36"/>
          <w:szCs w:val="36"/>
          <w:highlight w:val="none"/>
        </w:rPr>
        <w:t>地块位置：</w:t>
      </w:r>
      <w:r>
        <w:rPr>
          <w:rFonts w:hint="eastAsia" w:ascii="方正小标宋_GBK" w:hAnsi="Times New Roman" w:eastAsia="方正小标宋_GBK" w:cs="Times New Roman"/>
          <w:bCs/>
          <w:sz w:val="36"/>
          <w:szCs w:val="36"/>
          <w:highlight w:val="none"/>
          <w:u w:val="single"/>
          <w:lang w:val="en-US" w:eastAsia="zh-CN"/>
        </w:rPr>
        <w:t>三草湾先进制造业组团，娇子大道以南，</w:t>
      </w:r>
    </w:p>
    <w:p>
      <w:pPr>
        <w:ind w:left="2155" w:leftChars="1026" w:firstLine="0" w:firstLineChars="0"/>
        <w:jc w:val="left"/>
        <w:rPr>
          <w:rFonts w:hint="default" w:ascii="方正小标宋_GBK"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36"/>
          <w:szCs w:val="36"/>
          <w:highlight w:val="none"/>
          <w:u w:val="single"/>
          <w:lang w:val="en-US" w:eastAsia="zh-CN"/>
        </w:rPr>
        <w:t xml:space="preserve">科创大道以西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ind w:firstLine="360" w:firstLineChars="100"/>
        <w:rPr>
          <w:rFonts w:hint="default" w:ascii="Times New Roman" w:hAnsi="Times New Roman" w:eastAsia="方正小标宋_GBK" w:cs="Times New Roman"/>
          <w:bCs/>
          <w:sz w:val="36"/>
          <w:szCs w:val="36"/>
          <w:highlight w:val="none"/>
          <w:u w:val="single"/>
          <w:lang w:val="en-US"/>
        </w:rPr>
      </w:pPr>
      <w:r>
        <w:rPr>
          <w:rFonts w:ascii="Times New Roman" w:hAnsi="Times New Roman" w:eastAsia="方正小标宋_GBK" w:cs="Times New Roman"/>
          <w:bCs/>
          <w:sz w:val="36"/>
          <w:szCs w:val="36"/>
          <w:highlight w:val="none"/>
        </w:rPr>
        <w:t>地块编号：</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LKYD-2022-035</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ind w:firstLine="360" w:firstLineChars="100"/>
        <w:jc w:val="left"/>
        <w:rPr>
          <w:rFonts w:hint="eastAsia" w:ascii="Times New Roman" w:hAnsi="Times New Roman" w:eastAsia="方正小标宋_GBK" w:cs="Times New Roman"/>
          <w:bCs/>
          <w:sz w:val="36"/>
          <w:szCs w:val="36"/>
          <w:highlight w:val="none"/>
          <w:u w:val="single"/>
          <w:lang w:val="en-US" w:eastAsia="zh-CN"/>
        </w:rPr>
      </w:pPr>
      <w:r>
        <w:rPr>
          <w:rFonts w:hint="eastAsia" w:ascii="Times New Roman" w:hAnsi="Times New Roman" w:eastAsia="方正小标宋_GBK" w:cs="Times New Roman"/>
          <w:bCs/>
          <w:sz w:val="36"/>
          <w:szCs w:val="36"/>
          <w:highlight w:val="none"/>
          <w:u w:val="none"/>
          <w:lang w:val="en-US" w:eastAsia="zh-CN"/>
        </w:rPr>
        <w:t>地块一</w:t>
      </w:r>
      <w:r>
        <w:rPr>
          <w:rFonts w:ascii="Times New Roman" w:hAnsi="Times New Roman" w:eastAsia="方正小标宋_GBK" w:cs="Times New Roman"/>
          <w:bCs/>
          <w:sz w:val="36"/>
          <w:szCs w:val="36"/>
          <w:highlight w:val="none"/>
        </w:rPr>
        <w:t>宗地代码</w:t>
      </w:r>
      <w:r>
        <w:rPr>
          <w:rFonts w:hint="eastAsia" w:ascii="Times New Roman" w:hAnsi="Times New Roman" w:eastAsia="方正小标宋_GBK" w:cs="Times New Roman"/>
          <w:bCs/>
          <w:sz w:val="36"/>
          <w:szCs w:val="36"/>
          <w:highlight w:val="none"/>
          <w:lang w:eastAsia="zh-CN"/>
        </w:rPr>
        <w:t>：</w:t>
      </w:r>
      <w:r>
        <w:rPr>
          <w:rFonts w:hint="eastAsia" w:ascii="Times New Roman" w:hAnsi="Times New Roman" w:eastAsia="方正小标宋_GBK" w:cs="Times New Roman"/>
          <w:bCs/>
          <w:sz w:val="36"/>
          <w:szCs w:val="36"/>
          <w:highlight w:val="none"/>
          <w:u w:val="single"/>
          <w:lang w:val="en-US" w:eastAsia="zh-CN"/>
        </w:rPr>
        <w:t>512002012003GB00004W00000000</w:t>
      </w:r>
    </w:p>
    <w:p>
      <w:pPr>
        <w:rPr>
          <w:rFonts w:hint="eastAsia"/>
          <w:highlight w:val="none"/>
          <w:lang w:val="en-US" w:eastAsia="zh-CN"/>
        </w:rPr>
      </w:pPr>
    </w:p>
    <w:p>
      <w:pPr>
        <w:pStyle w:val="2"/>
        <w:rPr>
          <w:rFonts w:hint="eastAsia"/>
          <w:lang w:val="en-US" w:eastAsia="zh-CN"/>
        </w:rPr>
      </w:pPr>
    </w:p>
    <w:p>
      <w:pPr>
        <w:pStyle w:val="2"/>
        <w:rPr>
          <w:rFonts w:hint="eastAsia"/>
          <w:highlight w:val="none"/>
          <w:lang w:val="en-US" w:eastAsia="zh-CN"/>
        </w:rPr>
      </w:pPr>
    </w:p>
    <w:p>
      <w:pPr>
        <w:ind w:firstLine="360" w:firstLineChars="100"/>
        <w:jc w:val="left"/>
        <w:rPr>
          <w:rFonts w:hint="default" w:ascii="Times New Roman" w:hAnsi="Times New Roman" w:eastAsia="方正小标宋_GBK" w:cs="Times New Roman"/>
          <w:bCs/>
          <w:sz w:val="36"/>
          <w:szCs w:val="36"/>
          <w:highlight w:val="none"/>
          <w:u w:val="single"/>
          <w:lang w:val="en-US"/>
        </w:rPr>
      </w:pPr>
      <w:r>
        <w:rPr>
          <w:rFonts w:hint="eastAsia" w:ascii="Times New Roman" w:hAnsi="Times New Roman" w:eastAsia="方正小标宋_GBK" w:cs="Times New Roman"/>
          <w:bCs/>
          <w:sz w:val="36"/>
          <w:szCs w:val="36"/>
          <w:highlight w:val="none"/>
          <w:u w:val="none"/>
          <w:lang w:val="en-US" w:eastAsia="zh-CN"/>
        </w:rPr>
        <w:t>地块二</w:t>
      </w:r>
      <w:r>
        <w:rPr>
          <w:rFonts w:ascii="Times New Roman" w:hAnsi="Times New Roman" w:eastAsia="方正小标宋_GBK" w:cs="Times New Roman"/>
          <w:bCs/>
          <w:sz w:val="36"/>
          <w:szCs w:val="36"/>
          <w:highlight w:val="none"/>
        </w:rPr>
        <w:t>宗地代码</w:t>
      </w:r>
      <w:r>
        <w:rPr>
          <w:rFonts w:hint="eastAsia" w:ascii="Times New Roman" w:hAnsi="Times New Roman" w:eastAsia="方正小标宋_GBK" w:cs="Times New Roman"/>
          <w:bCs/>
          <w:sz w:val="36"/>
          <w:szCs w:val="36"/>
          <w:highlight w:val="none"/>
          <w:u w:val="none"/>
          <w:lang w:val="en-US" w:eastAsia="zh-CN"/>
        </w:rPr>
        <w:t>：</w:t>
      </w:r>
      <w:r>
        <w:rPr>
          <w:rFonts w:hint="eastAsia" w:ascii="Times New Roman" w:hAnsi="Times New Roman" w:eastAsia="方正小标宋_GBK" w:cs="Times New Roman"/>
          <w:bCs/>
          <w:sz w:val="36"/>
          <w:szCs w:val="36"/>
          <w:highlight w:val="none"/>
          <w:u w:val="single"/>
          <w:lang w:val="en-US" w:eastAsia="zh-CN"/>
        </w:rPr>
        <w:t>512002012003GB00005W00000000</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pStyle w:val="20"/>
        <w:ind w:firstLine="210"/>
        <w:rPr>
          <w:rFonts w:ascii="Times New Roman" w:hAnsi="Times New Roman" w:cs="Times New Roman"/>
          <w:b/>
          <w:sz w:val="36"/>
          <w:szCs w:val="36"/>
          <w:highlight w:val="none"/>
        </w:rPr>
      </w:pPr>
    </w:p>
    <w:p>
      <w:pPr>
        <w:ind w:firstLine="1084" w:firstLineChars="300"/>
        <w:rPr>
          <w:rFonts w:ascii="Times New Roman" w:hAnsi="Times New Roman" w:eastAsia="仿宋_GB2312" w:cs="Times New Roman"/>
          <w:b/>
          <w:bCs/>
          <w:sz w:val="36"/>
          <w:szCs w:val="36"/>
          <w:highlight w:val="none"/>
        </w:rPr>
      </w:pPr>
      <w:r>
        <w:rPr>
          <w:rFonts w:ascii="Times New Roman" w:hAnsi="Times New Roman" w:eastAsia="仿宋_GB2312" w:cs="Times New Roman"/>
          <w:b/>
          <w:bCs/>
          <w:sz w:val="36"/>
          <w:szCs w:val="36"/>
          <w:highlight w:val="none"/>
        </w:rPr>
        <w:t>资阳市政府政务服务和公共资源交易服务中心</w:t>
      </w:r>
    </w:p>
    <w:p>
      <w:pPr>
        <w:pStyle w:val="20"/>
        <w:rPr>
          <w:sz w:val="36"/>
          <w:szCs w:val="36"/>
          <w:highlight w:val="none"/>
        </w:rPr>
      </w:pPr>
    </w:p>
    <w:p>
      <w:pPr>
        <w:ind w:firstLine="4336" w:firstLineChars="1200"/>
        <w:rPr>
          <w:rFonts w:ascii="Times New Roman" w:hAnsi="Times New Roman" w:eastAsia="仿宋_GB2312" w:cs="Times New Roman"/>
          <w:bCs/>
          <w:sz w:val="44"/>
          <w:szCs w:val="44"/>
          <w:highlight w:val="none"/>
        </w:rPr>
      </w:pPr>
      <w:r>
        <w:rPr>
          <w:rFonts w:ascii="Times New Roman" w:hAnsi="Times New Roman" w:eastAsia="仿宋_GB2312" w:cs="Times New Roman"/>
          <w:b/>
          <w:bCs/>
          <w:sz w:val="36"/>
          <w:szCs w:val="36"/>
          <w:highlight w:val="none"/>
        </w:rPr>
        <w:t>2022年</w:t>
      </w:r>
      <w:r>
        <w:rPr>
          <w:rFonts w:hint="eastAsia" w:ascii="Times New Roman" w:hAnsi="Times New Roman" w:eastAsia="仿宋_GB2312" w:cs="Times New Roman"/>
          <w:b/>
          <w:bCs/>
          <w:sz w:val="36"/>
          <w:szCs w:val="36"/>
          <w:highlight w:val="none"/>
          <w:lang w:val="en-US" w:eastAsia="zh-CN"/>
        </w:rPr>
        <w:t xml:space="preserve"> 9 </w:t>
      </w:r>
      <w:r>
        <w:rPr>
          <w:rFonts w:ascii="Times New Roman" w:hAnsi="Times New Roman" w:eastAsia="仿宋_GB2312" w:cs="Times New Roman"/>
          <w:b/>
          <w:bCs/>
          <w:sz w:val="36"/>
          <w:szCs w:val="36"/>
          <w:highlight w:val="none"/>
        </w:rPr>
        <w:t>月</w:t>
      </w:r>
      <w:r>
        <w:rPr>
          <w:rFonts w:hint="eastAsia" w:ascii="Times New Roman" w:hAnsi="Times New Roman" w:eastAsia="仿宋_GB2312" w:cs="Times New Roman"/>
          <w:b/>
          <w:bCs/>
          <w:sz w:val="36"/>
          <w:szCs w:val="36"/>
          <w:highlight w:val="none"/>
          <w:lang w:val="en-US" w:eastAsia="zh-CN"/>
        </w:rPr>
        <w:t xml:space="preserve"> 28 </w:t>
      </w:r>
      <w:r>
        <w:rPr>
          <w:rFonts w:ascii="Times New Roman" w:hAnsi="Times New Roman" w:eastAsia="仿宋_GB2312" w:cs="Times New Roman"/>
          <w:b/>
          <w:bCs/>
          <w:sz w:val="36"/>
          <w:szCs w:val="36"/>
          <w:highlight w:val="none"/>
        </w:rPr>
        <w:t>日</w:t>
      </w:r>
    </w:p>
    <w:p>
      <w:pPr>
        <w:pStyle w:val="20"/>
        <w:rPr>
          <w:highlight w:val="none"/>
        </w:rPr>
      </w:pPr>
    </w:p>
    <w:p>
      <w:pPr>
        <w:pStyle w:val="20"/>
        <w:rPr>
          <w:highlight w:val="none"/>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LKYD-2022-035</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成交确认书（样本）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19</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lang w:eastAsia="zh-CN"/>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s="Times New Roman"/>
          <w:sz w:val="32"/>
          <w:szCs w:val="32"/>
          <w:highlight w:val="none"/>
          <w:u w:val="single"/>
          <w:lang w:eastAsia="zh-CN"/>
        </w:rPr>
        <w:t>两</w:t>
      </w:r>
      <w:r>
        <w:rPr>
          <w:rFonts w:ascii="Times New Roman" w:hAnsi="Times New Roman" w:eastAsia="方正仿宋_GBK" w:cs="Times New Roman"/>
          <w:sz w:val="32"/>
          <w:szCs w:val="32"/>
          <w:highlight w:val="none"/>
          <w:u w:val="singl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46"/>
        <w:gridCol w:w="1019"/>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46"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88"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46"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019"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LKYD-2022-034</w:t>
            </w:r>
          </w:p>
        </w:tc>
        <w:tc>
          <w:tcPr>
            <w:tcW w:w="1246"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olor w:val="000000"/>
                <w:sz w:val="24"/>
                <w:highlight w:val="none"/>
              </w:rPr>
              <w:t>三草湾先进制造业组团，娇子大道以北，科创大道以西</w:t>
            </w:r>
          </w:p>
        </w:tc>
        <w:tc>
          <w:tcPr>
            <w:tcW w:w="1019"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color w:val="000000"/>
                <w:sz w:val="24"/>
                <w:highlight w:val="none"/>
                <w:lang w:val="en-US" w:eastAsia="zh-CN"/>
              </w:rPr>
              <w:t>98224.37</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≥1.</w:t>
            </w:r>
            <w:r>
              <w:rPr>
                <w:rFonts w:hint="eastAsia" w:ascii="Times New Roman" w:hAnsi="Times New Roman" w:eastAsia="方正仿宋_GBK" w:cs="Times New Roman"/>
                <w:sz w:val="24"/>
                <w:highlight w:val="none"/>
                <w:lang w:val="en-US" w:eastAsia="zh-CN"/>
              </w:rPr>
              <w:t>1</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w:t>
            </w:r>
            <w:r>
              <w:rPr>
                <w:rFonts w:hint="eastAsia" w:ascii="Times New Roman" w:hAnsi="Times New Roman" w:eastAsia="方正仿宋_GBK" w:cs="Times New Roman"/>
                <w:sz w:val="24"/>
                <w:highlight w:val="none"/>
                <w:lang w:val="en-US" w:eastAsia="zh-CN"/>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2220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黑体" w:cs="Times New Roman"/>
                <w:sz w:val="24"/>
                <w:highlight w:val="none"/>
                <w:lang w:val="en-US" w:eastAsia="zh-CN"/>
              </w:rPr>
              <w:t>LKYD-2022-035</w:t>
            </w:r>
          </w:p>
        </w:tc>
        <w:tc>
          <w:tcPr>
            <w:tcW w:w="1246" w:type="dxa"/>
            <w:vAlign w:val="center"/>
          </w:tcPr>
          <w:p>
            <w:pPr>
              <w:spacing w:line="320" w:lineRule="exact"/>
              <w:jc w:val="center"/>
              <w:rPr>
                <w:rFonts w:hint="eastAsia" w:ascii="Times New Roman" w:hAnsi="Times New Roman" w:eastAsia="方正仿宋_GBK" w:cs="Times New Roman"/>
                <w:sz w:val="24"/>
                <w:highlight w:val="none"/>
                <w:u w:val="none"/>
                <w:lang w:val="en-US" w:eastAsia="zh-CN"/>
              </w:rPr>
            </w:pPr>
            <w:r>
              <w:rPr>
                <w:rFonts w:hint="eastAsia" w:ascii="Times New Roman" w:hAnsi="Times New Roman" w:eastAsia="方正仿宋_GBK"/>
                <w:color w:val="000000"/>
                <w:sz w:val="24"/>
                <w:highlight w:val="none"/>
              </w:rPr>
              <w:t>三草湾先进制造业组团，娇子大道以</w:t>
            </w:r>
            <w:r>
              <w:rPr>
                <w:rFonts w:hint="eastAsia" w:ascii="Times New Roman" w:hAnsi="Times New Roman" w:eastAsia="方正仿宋_GBK"/>
                <w:color w:val="000000"/>
                <w:sz w:val="24"/>
                <w:highlight w:val="none"/>
                <w:lang w:eastAsia="zh-CN"/>
              </w:rPr>
              <w:t>南</w:t>
            </w:r>
            <w:r>
              <w:rPr>
                <w:rFonts w:hint="eastAsia" w:ascii="Times New Roman" w:hAnsi="Times New Roman" w:eastAsia="方正仿宋_GBK"/>
                <w:color w:val="000000"/>
                <w:sz w:val="24"/>
                <w:highlight w:val="none"/>
              </w:rPr>
              <w:t>，科创大道以西</w:t>
            </w:r>
          </w:p>
        </w:tc>
        <w:tc>
          <w:tcPr>
            <w:tcW w:w="1019" w:type="dxa"/>
            <w:vAlign w:val="center"/>
          </w:tcPr>
          <w:p>
            <w:pPr>
              <w:spacing w:line="320" w:lineRule="exact"/>
              <w:jc w:val="center"/>
              <w:rPr>
                <w:rFonts w:hint="default" w:ascii="Times New Roman" w:hAnsi="Times New Roman" w:eastAsia="方正仿宋_GBK"/>
                <w:spacing w:val="-16"/>
                <w:sz w:val="24"/>
                <w:highlight w:val="none"/>
                <w:lang w:val="en-US" w:eastAsia="zh-CN"/>
              </w:rPr>
            </w:pPr>
            <w:r>
              <w:rPr>
                <w:rFonts w:hint="eastAsia" w:ascii="Times New Roman" w:hAnsi="Times New Roman" w:eastAsia="方正仿宋_GBK"/>
                <w:spacing w:val="-16"/>
                <w:sz w:val="24"/>
                <w:highlight w:val="none"/>
                <w:lang w:val="en-US" w:eastAsia="zh-CN"/>
              </w:rPr>
              <w:t>117828.23</w:t>
            </w:r>
          </w:p>
        </w:tc>
        <w:tc>
          <w:tcPr>
            <w:tcW w:w="1134" w:type="dxa"/>
            <w:vAlign w:val="center"/>
          </w:tcPr>
          <w:p>
            <w:pPr>
              <w:spacing w:line="320" w:lineRule="exact"/>
              <w:jc w:val="center"/>
              <w:rPr>
                <w:rFonts w:hint="eastAsia" w:ascii="Times New Roman" w:hAnsi="Times New Roman" w:eastAsia="方正仿宋_GBK"/>
                <w:sz w:val="24"/>
                <w:highlight w:val="none"/>
                <w:lang w:eastAsia="zh-CN"/>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w:t>
            </w:r>
            <w:r>
              <w:rPr>
                <w:rFonts w:hint="eastAsia" w:ascii="Times New Roman" w:hAnsi="Times New Roman" w:eastAsia="方正仿宋_GBK" w:cs="Times New Roman"/>
                <w:sz w:val="24"/>
                <w:highlight w:val="none"/>
                <w:lang w:val="en-US" w:eastAsia="zh-CN"/>
              </w:rPr>
              <w:t>1</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w:t>
            </w:r>
            <w:r>
              <w:rPr>
                <w:rFonts w:hint="eastAsia" w:ascii="Times New Roman" w:hAnsi="Times New Roman" w:eastAsia="方正仿宋_GBK" w:cs="Times New Roman"/>
                <w:sz w:val="24"/>
                <w:highlight w:val="none"/>
                <w:lang w:val="en-US" w:eastAsia="zh-CN"/>
              </w:rPr>
              <w:t>40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2670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534</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lang w:eastAsia="zh-CN"/>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hint="eastAsia" w:ascii="Times New Roman" w:hAnsi="Times New Roman" w:eastAsia="方正仿宋_GBK"/>
          <w:bCs/>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hint="eastAsia" w:ascii="Times New Roman" w:hAnsi="Times New Roman" w:eastAsia="方正仿宋_GBK" w:cs="Times New Roman"/>
          <w:sz w:val="32"/>
          <w:szCs w:val="32"/>
          <w:highlight w:val="none"/>
          <w:u w:val="none"/>
          <w:lang w:eastAsia="zh-CN"/>
        </w:rPr>
        <w:t>为</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25</w:t>
      </w:r>
      <w:r>
        <w:rPr>
          <w:rFonts w:hint="eastAsia" w:ascii="Times New Roman" w:hAnsi="Times New Roman" w:eastAsia="方正仿宋_GBK" w:cs="Times New Roman"/>
          <w:sz w:val="32"/>
          <w:szCs w:val="32"/>
          <w:highlight w:val="none"/>
          <w:u w:val="single"/>
        </w:rPr>
        <w:t>日16时</w:t>
      </w:r>
      <w:r>
        <w:rPr>
          <w:rFonts w:hint="eastAsia" w:ascii="Times New Roman" w:hAnsi="Times New Roman" w:eastAsia="方正仿宋_GBK" w:cs="Times New Roman"/>
          <w:sz w:val="32"/>
          <w:szCs w:val="32"/>
          <w:highlight w:val="none"/>
        </w:rPr>
        <w:t>止（以竞买保证金到</w:t>
      </w:r>
      <w:r>
        <w:rPr>
          <w:rFonts w:hint="eastAsia" w:ascii="Times New Roman" w:hAnsi="Times New Roman" w:eastAsia="方正仿宋_GBK" w:cs="Times New Roman"/>
          <w:sz w:val="32"/>
          <w:szCs w:val="32"/>
          <w:highlight w:val="none"/>
          <w:lang w:eastAsia="zh-CN"/>
        </w:rPr>
        <w:t>中心</w:t>
      </w:r>
      <w:r>
        <w:rPr>
          <w:rFonts w:hint="eastAsia" w:ascii="Times New Roman" w:hAnsi="Times New Roman" w:eastAsia="方正仿宋_GBK" w:cs="Times New Roman"/>
          <w:sz w:val="32"/>
          <w:szCs w:val="32"/>
          <w:highlight w:val="none"/>
        </w:rPr>
        <w:t>账</w:t>
      </w:r>
      <w:r>
        <w:rPr>
          <w:rFonts w:hint="eastAsia" w:ascii="Times New Roman" w:hAnsi="Times New Roman" w:eastAsia="方正仿宋_GBK" w:cs="Times New Roman"/>
          <w:sz w:val="32"/>
          <w:szCs w:val="32"/>
          <w:highlight w:val="none"/>
          <w:lang w:eastAsia="zh-CN"/>
        </w:rPr>
        <w:t>户</w:t>
      </w:r>
      <w:r>
        <w:rPr>
          <w:rFonts w:hint="eastAsia" w:ascii="Times New Roman" w:hAnsi="Times New Roman" w:eastAsia="方正仿宋_GBK" w:cs="Times New Roman"/>
          <w:sz w:val="32"/>
          <w:szCs w:val="32"/>
          <w:highlight w:val="none"/>
        </w:rPr>
        <w:t>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28</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10</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25</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25</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18</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27</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hint="eastAsia"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u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30" w:lineRule="exact"/>
        <w:ind w:firstLine="640" w:firstLineChars="200"/>
        <w:rPr>
          <w:rFonts w:hint="eastAsia" w:eastAsia="方正仿宋_GBK"/>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；咨询电话：13982969120。</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微软雅黑" w:cs="Times New Roman"/>
          <w:sz w:val="44"/>
          <w:szCs w:val="44"/>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28</w:t>
      </w:r>
      <w:r>
        <w:rPr>
          <w:rFonts w:ascii="Times New Roman" w:hAnsi="Times New Roman" w:eastAsia="方正仿宋_GBK" w:cs="Times New Roman"/>
          <w:color w:val="000000" w:themeColor="text1"/>
          <w:sz w:val="32"/>
          <w:szCs w:val="32"/>
          <w:highlight w:val="none"/>
        </w:rPr>
        <w:t>日</w:t>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olor w:val="auto"/>
          <w:sz w:val="32"/>
          <w:szCs w:val="32"/>
          <w:highlight w:val="none"/>
          <w:u w:val="single"/>
          <w:lang w:eastAsia="zh-CN"/>
        </w:rPr>
        <w:t>三草湾先进制造业组团，娇子大道以南，科创大道以西</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2"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w:t>
      </w:r>
      <w:r>
        <w:rPr>
          <w:rFonts w:ascii="Times New Roman" w:hAnsi="Times New Roman" w:eastAsia="方正仿宋_GBK" w:cs="Times New Roman"/>
          <w:b/>
          <w:bCs w:val="0"/>
          <w:sz w:val="32"/>
          <w:szCs w:val="32"/>
          <w:highlight w:val="none"/>
        </w:rPr>
        <w:t>用权的出让人为</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，具体组织实施由</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授</w:t>
      </w:r>
      <w:r>
        <w:rPr>
          <w:rFonts w:ascii="Times New Roman" w:hAnsi="Times New Roman" w:eastAsia="方正仿宋_GBK" w:cs="Times New Roman"/>
          <w:b/>
          <w:sz w:val="32"/>
          <w:szCs w:val="32"/>
          <w:highlight w:val="none"/>
        </w:rPr>
        <w:t>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2"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rPr>
          <w:highlight w:val="none"/>
        </w:rPr>
      </w:pPr>
    </w:p>
    <w:p>
      <w:pPr>
        <w:widowControl/>
        <w:numPr>
          <w:ilvl w:val="0"/>
          <w:numId w:val="1"/>
        </w:numPr>
        <w:spacing w:line="600" w:lineRule="exact"/>
        <w:ind w:left="0" w:leftChars="0" w:firstLine="642"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LKYD-2022-035</w:t>
      </w:r>
      <w:r>
        <w:rPr>
          <w:rFonts w:hint="eastAsia" w:ascii="Times New Roman" w:hAnsi="Times New Roman" w:eastAsia="方正黑体_GBK" w:cs="Times New Roman"/>
          <w:b/>
          <w:sz w:val="32"/>
          <w:szCs w:val="32"/>
          <w:highlight w:val="none"/>
        </w:rPr>
        <w:t>号地块国有建设用地使用权挂牌出让方案</w:t>
      </w:r>
    </w:p>
    <w:tbl>
      <w:tblPr>
        <w:tblStyle w:val="14"/>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1764"/>
        <w:gridCol w:w="1808"/>
        <w:gridCol w:w="24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出让人</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资阳市临空经济区管理委员会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土地座落</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hint="eastAsia" w:ascii="Times New Roman" w:hAnsi="Times New Roman" w:eastAsia="方正仿宋_GBK"/>
                <w:color w:val="000000"/>
                <w:sz w:val="24"/>
                <w:highlight w:val="none"/>
              </w:rPr>
              <w:t>三草湾先进制造业组团，娇子大道以</w:t>
            </w:r>
            <w:r>
              <w:rPr>
                <w:rFonts w:hint="default" w:ascii="Times New Roman" w:hAnsi="Times New Roman" w:eastAsia="方正仿宋_GBK"/>
                <w:color w:val="000000"/>
                <w:sz w:val="24"/>
                <w:highlight w:val="none"/>
              </w:rPr>
              <w:t>南</w:t>
            </w:r>
            <w:r>
              <w:rPr>
                <w:rFonts w:hint="eastAsia" w:ascii="Times New Roman" w:hAnsi="Times New Roman" w:eastAsia="方正仿宋_GBK"/>
                <w:color w:val="000000"/>
                <w:sz w:val="24"/>
                <w:highlight w:val="none"/>
              </w:rPr>
              <w:t>，科创大道以西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出让界址及空间范围</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土地用途</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kern w:val="0"/>
                <w:sz w:val="24"/>
                <w:highlight w:val="none"/>
              </w:rPr>
              <w:t>出让年限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法定最高年限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土地权属及出让面积</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土地使用权面积</w:t>
            </w:r>
            <w:r>
              <w:rPr>
                <w:rFonts w:hint="eastAsia" w:ascii="Times New Roman" w:hAnsi="Times New Roman" w:eastAsia="方正仿宋_GBK"/>
                <w:color w:val="000000"/>
                <w:sz w:val="24"/>
                <w:highlight w:val="none"/>
              </w:rPr>
              <w:t>地块一</w:t>
            </w:r>
            <w:r>
              <w:rPr>
                <w:rFonts w:hint="eastAsia" w:ascii="Times New Roman" w:hAnsi="Times New Roman" w:eastAsia="方正仿宋_GBK" w:cs="Times New Roman"/>
                <w:color w:val="000000"/>
                <w:sz w:val="24"/>
                <w:highlight w:val="none"/>
                <w:lang w:val="en-US" w:eastAsia="zh-CN"/>
              </w:rPr>
              <w:t>38091.66</w:t>
            </w:r>
            <w:r>
              <w:rPr>
                <w:rFonts w:ascii="Times New Roman" w:hAnsi="Times New Roman" w:eastAsia="方正仿宋_GBK" w:cs="Times New Roman"/>
                <w:color w:val="000000"/>
                <w:sz w:val="24"/>
                <w:highlight w:val="none"/>
              </w:rPr>
              <w:t>平方米（</w:t>
            </w:r>
            <w:r>
              <w:rPr>
                <w:rFonts w:hint="default" w:ascii="Times New Roman" w:hAnsi="Times New Roman" w:eastAsia="方正仿宋_GBK" w:cs="Times New Roman"/>
                <w:color w:val="000000"/>
                <w:sz w:val="24"/>
                <w:highlight w:val="none"/>
              </w:rPr>
              <w:t>57.14</w:t>
            </w:r>
            <w:r>
              <w:rPr>
                <w:rFonts w:ascii="Times New Roman" w:hAnsi="Times New Roman" w:eastAsia="方正仿宋_GBK" w:cs="Times New Roman"/>
                <w:color w:val="000000"/>
                <w:sz w:val="24"/>
                <w:highlight w:val="none"/>
              </w:rPr>
              <w:t>亩）</w:t>
            </w:r>
            <w:r>
              <w:rPr>
                <w:rFonts w:hint="eastAsia" w:ascii="Times New Roman" w:hAnsi="Times New Roman" w:eastAsia="方正仿宋_GBK" w:cs="Times New Roman"/>
                <w:color w:val="000000"/>
                <w:sz w:val="24"/>
                <w:highlight w:val="none"/>
              </w:rPr>
              <w:t>，地块二</w:t>
            </w:r>
            <w:r>
              <w:rPr>
                <w:rFonts w:hint="eastAsia" w:ascii="Times New Roman" w:hAnsi="Times New Roman" w:eastAsia="方正仿宋_GBK" w:cs="Times New Roman"/>
                <w:color w:val="000000"/>
                <w:sz w:val="24"/>
                <w:highlight w:val="none"/>
                <w:lang w:val="en-US" w:eastAsia="zh-CN"/>
              </w:rPr>
              <w:t>79736.57</w:t>
            </w:r>
            <w:r>
              <w:rPr>
                <w:rFonts w:ascii="Times New Roman" w:hAnsi="Times New Roman" w:eastAsia="方正仿宋_GBK" w:cs="Times New Roman"/>
                <w:color w:val="000000"/>
                <w:sz w:val="24"/>
                <w:highlight w:val="none"/>
              </w:rPr>
              <w:t>平方米（</w:t>
            </w:r>
            <w:r>
              <w:rPr>
                <w:rFonts w:hint="default" w:ascii="Times New Roman" w:hAnsi="Times New Roman" w:eastAsia="方正仿宋_GBK" w:cs="Times New Roman"/>
                <w:color w:val="000000"/>
                <w:sz w:val="24"/>
                <w:highlight w:val="none"/>
              </w:rPr>
              <w:t>119.60</w:t>
            </w:r>
            <w:r>
              <w:rPr>
                <w:rFonts w:ascii="Times New Roman" w:hAnsi="Times New Roman" w:eastAsia="方正仿宋_GBK" w:cs="Times New Roman"/>
                <w:color w:val="000000"/>
                <w:sz w:val="24"/>
                <w:highlight w:val="none"/>
              </w:rPr>
              <w:t>亩），已完成集体土地征收补偿及房屋拆迁，权属清楚，无纠纷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主要规划指标及要求</w:t>
            </w:r>
          </w:p>
        </w:tc>
        <w:tc>
          <w:tcPr>
            <w:tcW w:w="7418" w:type="dxa"/>
            <w:gridSpan w:val="4"/>
            <w:tcBorders>
              <w:top w:val="single" w:color="auto" w:sz="4" w:space="0"/>
              <w:left w:val="single" w:color="auto" w:sz="4" w:space="0"/>
              <w:bottom w:val="single" w:color="auto" w:sz="4" w:space="0"/>
            </w:tcBorders>
            <w:noWrap w:val="0"/>
            <w:vAlign w:val="center"/>
          </w:tcPr>
          <w:p>
            <w:pPr>
              <w:spacing w:line="320" w:lineRule="exact"/>
              <w:rPr>
                <w:rFonts w:ascii="Times New Roman" w:hAnsi="Times New Roman" w:eastAsia="方正仿宋_GBK"/>
                <w:color w:val="000000"/>
                <w:sz w:val="24"/>
                <w:highlight w:val="none"/>
              </w:rPr>
            </w:pPr>
            <w:r>
              <w:rPr>
                <w:rFonts w:hint="eastAsia" w:ascii="Times New Roman" w:hAnsi="Times New Roman" w:eastAsia="方正仿宋_GBK"/>
                <w:color w:val="000000"/>
                <w:sz w:val="24"/>
                <w:highlight w:val="none"/>
              </w:rPr>
              <w:t>规划容积率≥1.1，建筑密度≥40％，绿地率≤20％，建筑高度≤24米</w:t>
            </w:r>
            <w:r>
              <w:rPr>
                <w:rFonts w:ascii="Times New Roman" w:hAnsi="Times New Roman" w:eastAsia="方正仿宋_GBK"/>
                <w:color w:val="000000"/>
                <w:sz w:val="24"/>
                <w:highlight w:val="none"/>
              </w:rPr>
              <w:t>，其他控制指标及规划设计要求详见规划条件资自然资临规条（2022）字0</w:t>
            </w:r>
            <w:r>
              <w:rPr>
                <w:rFonts w:hint="eastAsia" w:ascii="Times New Roman" w:hAnsi="Times New Roman" w:eastAsia="方正仿宋_GBK"/>
                <w:color w:val="000000"/>
                <w:sz w:val="24"/>
                <w:highlight w:val="none"/>
              </w:rPr>
              <w:t>44</w:t>
            </w:r>
            <w:r>
              <w:rPr>
                <w:rFonts w:ascii="Times New Roman" w:hAnsi="Times New Roman" w:eastAsia="方正仿宋_GBK"/>
                <w:color w:val="000000"/>
                <w:sz w:val="24"/>
                <w:highlight w:val="none"/>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配套建设</w:t>
            </w:r>
          </w:p>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要求</w:t>
            </w:r>
          </w:p>
        </w:tc>
        <w:tc>
          <w:tcPr>
            <w:tcW w:w="7418" w:type="dxa"/>
            <w:gridSpan w:val="4"/>
            <w:tcBorders>
              <w:top w:val="single" w:color="auto" w:sz="4" w:space="0"/>
              <w:left w:val="single" w:color="auto" w:sz="4" w:space="0"/>
              <w:bottom w:val="single" w:color="auto" w:sz="4" w:space="0"/>
            </w:tcBorders>
            <w:noWrap w:val="0"/>
            <w:vAlign w:val="center"/>
          </w:tcPr>
          <w:p>
            <w:pPr>
              <w:spacing w:line="320" w:lineRule="exact"/>
              <w:rPr>
                <w:rFonts w:ascii="Times New Roman" w:hAnsi="Times New Roman" w:eastAsia="方正仿宋_GBK"/>
                <w:color w:val="000000"/>
                <w:sz w:val="24"/>
                <w:highlight w:val="none"/>
              </w:rPr>
            </w:pPr>
            <w:r>
              <w:rPr>
                <w:rFonts w:ascii="Times New Roman" w:hAnsi="Times New Roman" w:eastAsia="方正仿宋_GBK"/>
                <w:color w:val="000000"/>
                <w:sz w:val="24"/>
                <w:highlight w:val="none"/>
              </w:rPr>
              <w:t>该地块地下建（构）筑物水平投影面积≤</w:t>
            </w:r>
            <w:r>
              <w:rPr>
                <w:rFonts w:hint="eastAsia" w:ascii="Times New Roman" w:hAnsi="Times New Roman" w:eastAsia="方正仿宋_GBK"/>
                <w:color w:val="000000"/>
                <w:sz w:val="24"/>
                <w:highlight w:val="none"/>
              </w:rPr>
              <w:t>43049</w:t>
            </w:r>
            <w:r>
              <w:rPr>
                <w:rFonts w:ascii="Times New Roman" w:hAnsi="Times New Roman" w:eastAsia="方正仿宋_GBK"/>
                <w:color w:val="000000"/>
                <w:sz w:val="24"/>
                <w:highlight w:val="none"/>
              </w:rPr>
              <w:t>㎡，单体建筑面积≥20000㎡的公共建筑、地上总面积≥150000㎡的新建住宅小区至少应满足绿色建筑一星级要求，机动车与非机动车车位的规划设置应符合资阳市城市规划管理技术规定的有关要求，各类配套设施须在总平图上准确标注位置、面积、楼层、用途</w:t>
            </w:r>
            <w:r>
              <w:rPr>
                <w:rFonts w:ascii="Times New Roman" w:hAnsi="Times New Roman" w:eastAsia="方正仿宋_GBK" w:cs="Times New Roman"/>
                <w:color w:val="000000"/>
                <w:sz w:val="24"/>
                <w:highlight w:val="none"/>
              </w:rPr>
              <w:t>等相关信息，并</w:t>
            </w:r>
            <w:r>
              <w:rPr>
                <w:rFonts w:ascii="Times New Roman" w:hAnsi="Times New Roman" w:eastAsia="方正仿宋_GBK"/>
                <w:color w:val="000000"/>
                <w:sz w:val="24"/>
                <w:highlight w:val="none"/>
              </w:rPr>
              <w:t>在经济技术指标统计中明确，配套设施须与主体建筑同步设计、同步建设、同步验收、同步投入使用，需分期实施的，配套设施应与首期同步设计、同步建设、同步验收、同步投入使用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土地来源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hint="eastAsia" w:ascii="Times New Roman" w:hAnsi="Times New Roman" w:eastAsia="方正仿宋_GBK" w:cs="Times New Roman"/>
                <w:color w:val="000000"/>
                <w:sz w:val="24"/>
                <w:highlight w:val="none"/>
                <w:lang w:val="en-US" w:eastAsia="zh-CN"/>
              </w:rPr>
              <w:t>川府土</w:t>
            </w:r>
            <w:r>
              <w:rPr>
                <w:rFonts w:hint="eastAsia" w:ascii="Times New Roman" w:hAnsi="Times New Roman" w:eastAsia="方正仿宋_GBK" w:cs="Times New Roman"/>
                <w:color w:val="000000"/>
                <w:sz w:val="24"/>
                <w:highlight w:val="none"/>
              </w:rPr>
              <w:t>〔20</w:t>
            </w:r>
            <w:r>
              <w:rPr>
                <w:rFonts w:hint="eastAsia" w:ascii="Times New Roman" w:hAnsi="Times New Roman" w:eastAsia="方正仿宋_GBK" w:cs="Times New Roman"/>
                <w:color w:val="000000"/>
                <w:sz w:val="24"/>
                <w:highlight w:val="none"/>
                <w:lang w:val="en-US" w:eastAsia="zh-CN"/>
              </w:rPr>
              <w:t>18</w:t>
            </w:r>
            <w:r>
              <w:rPr>
                <w:rFonts w:hint="eastAsia" w:ascii="Times New Roman" w:hAnsi="Times New Roman" w:eastAsia="方正仿宋_GBK" w:cs="Times New Roman"/>
                <w:color w:val="000000"/>
                <w:sz w:val="24"/>
                <w:highlight w:val="none"/>
              </w:rPr>
              <w:t>〕</w:t>
            </w:r>
            <w:r>
              <w:rPr>
                <w:rFonts w:hint="eastAsia" w:ascii="Times New Roman" w:hAnsi="Times New Roman" w:eastAsia="方正仿宋_GBK" w:cs="Times New Roman"/>
                <w:color w:val="000000"/>
                <w:sz w:val="24"/>
                <w:highlight w:val="none"/>
                <w:lang w:val="en-US" w:eastAsia="zh-CN"/>
              </w:rPr>
              <w:t>1147</w:t>
            </w:r>
            <w:r>
              <w:rPr>
                <w:rFonts w:hint="eastAsia" w:ascii="Times New Roman" w:hAnsi="Times New Roman" w:eastAsia="方正仿宋_GBK" w:cs="Times New Roman"/>
                <w:color w:val="000000"/>
                <w:sz w:val="24"/>
                <w:highlight w:val="none"/>
              </w:rPr>
              <w:t>号：49.91㎡；川府土〔2021〕184号：65586.02㎡；川府土〔2022〕67号：52192.3㎡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土壤场地</w:t>
            </w:r>
          </w:p>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调查情况</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ascii="Times New Roman" w:eastAsia="方正仿宋_GBK"/>
                <w:sz w:val="24"/>
                <w:highlight w:val="none"/>
              </w:rPr>
              <w:t>该地块为工业用地，不进行土壤污染状况调查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default" w:ascii="Times New Roman" w:eastAsia="方正仿宋_GBK"/>
                <w:sz w:val="24"/>
                <w:highlight w:val="none"/>
              </w:rPr>
            </w:pPr>
            <w:r>
              <w:rPr>
                <w:rFonts w:ascii="Times New Roman" w:hAnsi="Times New Roman" w:eastAsia="方正仿宋_GBK" w:cs="Times New Roman"/>
                <w:sz w:val="24"/>
                <w:highlight w:val="none"/>
              </w:rPr>
              <w:t>宗地代码</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地块一：</w:t>
            </w:r>
            <w:r>
              <w:rPr>
                <w:rFonts w:hint="default" w:ascii="Times New Roman" w:hAnsi="Times New Roman" w:eastAsia="方正仿宋_GBK" w:cs="Times New Roman"/>
                <w:sz w:val="24"/>
                <w:highlight w:val="none"/>
              </w:rPr>
              <w:t>512002012003GB00004W00000000</w:t>
            </w:r>
          </w:p>
          <w:p>
            <w:pPr>
              <w:adjustRightInd w:val="0"/>
              <w:snapToGrid w:val="0"/>
              <w:spacing w:line="320" w:lineRule="exact"/>
              <w:rPr>
                <w:rFonts w:ascii="Times New Roman" w:eastAsia="方正仿宋_GBK"/>
                <w:sz w:val="24"/>
                <w:highlight w:val="none"/>
              </w:rPr>
            </w:pPr>
            <w:r>
              <w:rPr>
                <w:rFonts w:ascii="Times New Roman" w:hAnsi="Times New Roman" w:eastAsia="方正仿宋_GBK" w:cs="Times New Roman"/>
                <w:sz w:val="24"/>
                <w:highlight w:val="none"/>
              </w:rPr>
              <w:t>地块二：</w:t>
            </w:r>
            <w:r>
              <w:rPr>
                <w:rFonts w:hint="default" w:ascii="Times New Roman" w:hAnsi="Times New Roman" w:eastAsia="方正仿宋_GBK" w:cs="Times New Roman"/>
                <w:sz w:val="24"/>
                <w:highlight w:val="none"/>
              </w:rPr>
              <w:t>512002012003GB00005W00000000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sz w:val="24"/>
                <w:highlight w:val="none"/>
              </w:rPr>
              <w:t>土地级别</w:t>
            </w:r>
          </w:p>
        </w:tc>
        <w:tc>
          <w:tcPr>
            <w:tcW w:w="315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color w:val="FF0000"/>
                <w:sz w:val="24"/>
                <w:highlight w:val="none"/>
              </w:rPr>
            </w:pPr>
            <w:r>
              <w:rPr>
                <w:rFonts w:ascii="Times New Roman" w:eastAsia="方正仿宋_GBK"/>
                <w:color w:val="000000"/>
                <w:sz w:val="24"/>
                <w:highlight w:val="none"/>
              </w:rPr>
              <w:t>工业用地</w:t>
            </w:r>
            <w:r>
              <w:rPr>
                <w:rFonts w:ascii="Times New Roman" w:hAnsi="Times New Roman" w:eastAsia="方正仿宋_GBK"/>
                <w:color w:val="000000"/>
                <w:sz w:val="24"/>
                <w:highlight w:val="none"/>
              </w:rPr>
              <w:t>Ⅱ</w:t>
            </w:r>
            <w:r>
              <w:rPr>
                <w:rFonts w:ascii="Times New Roman" w:eastAsia="方正仿宋_GBK"/>
                <w:color w:val="000000"/>
                <w:sz w:val="24"/>
                <w:highlight w:val="none"/>
              </w:rPr>
              <w:t>级</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color w:val="FF0000"/>
                <w:sz w:val="24"/>
                <w:highlight w:val="none"/>
              </w:rPr>
            </w:pPr>
            <w:r>
              <w:rPr>
                <w:rFonts w:ascii="Times New Roman" w:eastAsia="方正仿宋_GBK"/>
                <w:color w:val="000000"/>
                <w:sz w:val="24"/>
                <w:highlight w:val="none"/>
              </w:rPr>
              <w:t>基准地价</w:t>
            </w:r>
          </w:p>
        </w:tc>
        <w:tc>
          <w:tcPr>
            <w:tcW w:w="2451" w:type="dxa"/>
            <w:tcBorders>
              <w:top w:val="single" w:color="auto" w:sz="4" w:space="0"/>
              <w:left w:val="single" w:color="auto" w:sz="4" w:space="0"/>
              <w:bottom w:val="single" w:color="auto" w:sz="4" w:space="0"/>
            </w:tcBorders>
            <w:noWrap w:val="0"/>
            <w:vAlign w:val="center"/>
          </w:tcPr>
          <w:p>
            <w:pPr>
              <w:adjustRightInd w:val="0"/>
              <w:snapToGrid w:val="0"/>
              <w:spacing w:line="320" w:lineRule="exact"/>
              <w:jc w:val="center"/>
              <w:rPr>
                <w:rFonts w:ascii="Times New Roman" w:hAnsi="Times New Roman" w:eastAsia="方正仿宋_GBK"/>
                <w:color w:val="FF0000"/>
                <w:sz w:val="24"/>
                <w:highlight w:val="none"/>
              </w:rPr>
            </w:pPr>
            <w:r>
              <w:rPr>
                <w:rFonts w:ascii="Times New Roman" w:hAnsi="Times New Roman" w:eastAsia="方正仿宋_GBK"/>
                <w:color w:val="000000"/>
                <w:sz w:val="24"/>
                <w:highlight w:val="none"/>
              </w:rPr>
              <w:t>13</w:t>
            </w:r>
            <w:r>
              <w:rPr>
                <w:rFonts w:ascii="Times New Roman" w:eastAsia="方正仿宋_GBK"/>
                <w:color w:val="000000"/>
                <w:sz w:val="24"/>
                <w:highlight w:val="none"/>
              </w:rPr>
              <w:t>万元</w:t>
            </w:r>
            <w:r>
              <w:rPr>
                <w:rFonts w:ascii="Times New Roman" w:hAnsi="Times New Roman" w:eastAsia="方正仿宋_GBK"/>
                <w:color w:val="000000"/>
                <w:sz w:val="24"/>
                <w:highlight w:val="none"/>
              </w:rPr>
              <w:t>/</w:t>
            </w:r>
            <w:r>
              <w:rPr>
                <w:rFonts w:ascii="Times New Roman" w:eastAsia="方正仿宋_GBK"/>
                <w:color w:val="000000"/>
                <w:sz w:val="24"/>
                <w:highlight w:val="none"/>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kern w:val="0"/>
                <w:sz w:val="24"/>
                <w:highlight w:val="none"/>
              </w:rPr>
              <w:t>出让评估价</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color w:val="000000"/>
                <w:sz w:val="24"/>
                <w:highlight w:val="none"/>
              </w:rPr>
            </w:pPr>
            <w:r>
              <w:rPr>
                <w:rFonts w:ascii="Times New Roman" w:eastAsia="方正仿宋_GBK"/>
                <w:sz w:val="24"/>
                <w:highlight w:val="none"/>
              </w:rPr>
              <w:t>评估总</w:t>
            </w:r>
            <w:r>
              <w:rPr>
                <w:rFonts w:ascii="Times New Roman" w:hAnsi="Calibri" w:eastAsia="方正仿宋_GBK" w:cs="Times New Roman"/>
                <w:sz w:val="24"/>
                <w:highlight w:val="none"/>
              </w:rPr>
              <w:t>价</w:t>
            </w:r>
            <w:r>
              <w:rPr>
                <w:rFonts w:hint="default" w:ascii="Times New Roman" w:hAnsi="Calibri" w:eastAsia="方正仿宋_GBK" w:cs="Times New Roman"/>
                <w:sz w:val="24"/>
                <w:highlight w:val="none"/>
              </w:rPr>
              <w:t>2333</w:t>
            </w:r>
            <w:r>
              <w:rPr>
                <w:rFonts w:ascii="Times New Roman" w:eastAsia="方正仿宋_GBK"/>
                <w:sz w:val="24"/>
                <w:highlight w:val="none"/>
              </w:rPr>
              <w:t>万元，单价13.2万元/亩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highlight w:val="none"/>
              </w:rPr>
            </w:pPr>
            <w:r>
              <w:rPr>
                <w:rFonts w:ascii="Times New Roman" w:eastAsia="方正仿宋_GBK"/>
                <w:kern w:val="0"/>
                <w:sz w:val="24"/>
                <w:highlight w:val="none"/>
              </w:rPr>
              <w:t>挂牌起始价及增价幅度</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hint="default" w:ascii="Times New Roman" w:hAnsi="Calibri" w:eastAsia="方正仿宋_GBK" w:cs="Times New Roman"/>
                <w:sz w:val="24"/>
                <w:highlight w:val="none"/>
              </w:rPr>
              <w:t>2670万元（税务部门测算该宗地耕地占用税334.22万元，评估总价2333</w:t>
            </w:r>
            <w:r>
              <w:rPr>
                <w:rFonts w:ascii="Times New Roman" w:hAnsi="Calibri" w:eastAsia="方正仿宋_GBK" w:cs="Times New Roman"/>
                <w:sz w:val="24"/>
                <w:highlight w:val="none"/>
              </w:rPr>
              <w:t>万元，取整挂牌起始价</w:t>
            </w:r>
            <w:r>
              <w:rPr>
                <w:rFonts w:hint="default" w:ascii="Times New Roman" w:hAnsi="Calibri" w:eastAsia="方正仿宋_GBK" w:cs="Times New Roman"/>
                <w:sz w:val="24"/>
                <w:highlight w:val="none"/>
              </w:rPr>
              <w:t>2670</w:t>
            </w:r>
            <w:r>
              <w:rPr>
                <w:rFonts w:ascii="Times New Roman" w:hAnsi="Calibri" w:eastAsia="方正仿宋_GBK" w:cs="Times New Roman"/>
                <w:sz w:val="24"/>
                <w:highlight w:val="none"/>
              </w:rPr>
              <w:t>万元），单价15.1万元/亩，增价幅度为10万元/次或该增价幅度的整数倍。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color w:val="000000"/>
                <w:kern w:val="0"/>
                <w:sz w:val="24"/>
                <w:highlight w:val="none"/>
              </w:rPr>
            </w:pPr>
            <w:r>
              <w:rPr>
                <w:rFonts w:ascii="Times New Roman" w:eastAsia="方正仿宋_GBK"/>
                <w:color w:val="000000"/>
                <w:sz w:val="24"/>
                <w:highlight w:val="none"/>
              </w:rPr>
              <w:t>竞买保证金</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color w:val="000000"/>
                <w:sz w:val="24"/>
                <w:highlight w:val="none"/>
              </w:rPr>
            </w:pPr>
            <w:r>
              <w:rPr>
                <w:rFonts w:hint="eastAsia" w:ascii="Times New Roman" w:hAnsi="Times New Roman" w:eastAsia="方正仿宋_GBK"/>
                <w:color w:val="000000"/>
                <w:sz w:val="24"/>
                <w:highlight w:val="none"/>
              </w:rPr>
              <w:t>5</w:t>
            </w:r>
            <w:r>
              <w:rPr>
                <w:rFonts w:hint="default" w:ascii="Times New Roman" w:hAnsi="Times New Roman" w:eastAsia="方正仿宋_GBK"/>
                <w:color w:val="000000"/>
                <w:sz w:val="24"/>
                <w:highlight w:val="none"/>
              </w:rPr>
              <w:t>34</w:t>
            </w:r>
            <w:r>
              <w:rPr>
                <w:rFonts w:ascii="Times New Roman" w:hAnsi="Times New Roman" w:eastAsia="方正仿宋_GBK"/>
                <w:color w:val="000000"/>
                <w:sz w:val="24"/>
                <w:highlight w:val="none"/>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sz w:val="24"/>
                <w:szCs w:val="28"/>
                <w:highlight w:val="none"/>
              </w:rPr>
            </w:pPr>
            <w:r>
              <w:rPr>
                <w:rFonts w:ascii="Times New Roman" w:eastAsia="方正仿宋_GBK"/>
                <w:kern w:val="0"/>
                <w:sz w:val="24"/>
                <w:highlight w:val="none"/>
              </w:rPr>
              <w:t>竞买人资格</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ascii="Times New Roman" w:eastAsia="方正仿宋_GBK"/>
                <w:color w:val="000000"/>
                <w:sz w:val="24"/>
                <w:highlight w:val="none"/>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kern w:val="0"/>
                <w:sz w:val="24"/>
                <w:highlight w:val="none"/>
              </w:rPr>
              <w:t>出让方式</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kern w:val="0"/>
                <w:sz w:val="24"/>
                <w:highlight w:val="none"/>
              </w:rPr>
            </w:pPr>
            <w:r>
              <w:rPr>
                <w:rFonts w:ascii="Times New Roman" w:eastAsia="方正仿宋_GBK"/>
                <w:color w:val="000000"/>
                <w:kern w:val="0"/>
                <w:sz w:val="24"/>
                <w:highlight w:val="none"/>
              </w:rPr>
              <w:t>有底价挂牌出让，底价由临空经济区底价决策小组于挂牌结束前</w:t>
            </w:r>
            <w:r>
              <w:rPr>
                <w:rFonts w:ascii="Times New Roman" w:hAnsi="Times New Roman" w:eastAsia="方正仿宋_GBK"/>
                <w:color w:val="000000"/>
                <w:kern w:val="0"/>
                <w:sz w:val="24"/>
                <w:highlight w:val="none"/>
              </w:rPr>
              <w:t>1</w:t>
            </w:r>
            <w:r>
              <w:rPr>
                <w:rFonts w:ascii="Times New Roman" w:eastAsia="方正仿宋_GBK"/>
                <w:color w:val="000000"/>
                <w:kern w:val="0"/>
                <w:sz w:val="24"/>
                <w:highlight w:val="none"/>
              </w:rPr>
              <w:t>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0"/>
            <w:vAlign w:val="center"/>
          </w:tcPr>
          <w:p>
            <w:pPr>
              <w:adjustRightInd w:val="0"/>
              <w:snapToGrid w:val="0"/>
              <w:spacing w:line="320" w:lineRule="exact"/>
              <w:ind w:left="-105" w:leftChars="-50" w:right="-105" w:rightChars="-50"/>
              <w:jc w:val="center"/>
              <w:rPr>
                <w:rFonts w:ascii="Times New Roman" w:hAnsi="Times New Roman" w:eastAsia="方正仿宋_GBK"/>
                <w:kern w:val="0"/>
                <w:sz w:val="24"/>
                <w:highlight w:val="none"/>
              </w:rPr>
            </w:pPr>
            <w:r>
              <w:rPr>
                <w:rFonts w:ascii="Times New Roman" w:eastAsia="方正仿宋_GBK"/>
                <w:kern w:val="0"/>
                <w:sz w:val="24"/>
                <w:highlight w:val="none"/>
              </w:rPr>
              <w:t>出让价款支付时间、金额及</w:t>
            </w:r>
          </w:p>
          <w:p>
            <w:pPr>
              <w:adjustRightInd w:val="0"/>
              <w:snapToGrid w:val="0"/>
              <w:spacing w:line="320" w:lineRule="exact"/>
              <w:ind w:left="-105" w:leftChars="-50" w:right="-105" w:rightChars="-50"/>
              <w:jc w:val="center"/>
              <w:rPr>
                <w:rFonts w:ascii="Times New Roman" w:hAnsi="Times New Roman" w:eastAsia="方正仿宋_GBK"/>
                <w:kern w:val="0"/>
                <w:sz w:val="24"/>
                <w:highlight w:val="none"/>
              </w:rPr>
            </w:pPr>
            <w:r>
              <w:rPr>
                <w:rFonts w:ascii="Times New Roman" w:eastAsia="方正仿宋_GBK"/>
                <w:kern w:val="0"/>
                <w:sz w:val="24"/>
                <w:highlight w:val="none"/>
              </w:rPr>
              <w:t>违约责任</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sz w:val="24"/>
                <w:highlight w:val="none"/>
              </w:rPr>
            </w:pPr>
            <w:r>
              <w:rPr>
                <w:rFonts w:ascii="Times New Roman" w:eastAsia="方正仿宋_GBK"/>
                <w:sz w:val="24"/>
                <w:highlight w:val="none"/>
              </w:rPr>
              <w:t>第一期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ascii="Times New Roman" w:eastAsia="方正仿宋_GBK"/>
                <w:sz w:val="24"/>
                <w:highlight w:val="none"/>
              </w:rPr>
              <w:t>签订《出让合同》之日起一个月内缴纳成交总价的</w:t>
            </w:r>
            <w:r>
              <w:rPr>
                <w:rFonts w:ascii="Times New Roman" w:hAnsi="Times New Roman" w:eastAsia="方正仿宋_GBK"/>
                <w:sz w:val="24"/>
                <w:highlight w:val="none"/>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sz w:val="24"/>
                <w:highlight w:val="none"/>
              </w:rPr>
            </w:pPr>
            <w:r>
              <w:rPr>
                <w:rFonts w:ascii="Times New Roman" w:eastAsia="方正仿宋_GBK"/>
                <w:sz w:val="24"/>
                <w:highlight w:val="none"/>
              </w:rPr>
              <w:t>第二期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ascii="Times New Roman" w:eastAsia="方正仿宋_GBK"/>
                <w:sz w:val="24"/>
                <w:highlight w:val="none"/>
              </w:rPr>
              <w:t>签订《出让合同》之日起</w:t>
            </w:r>
            <w:r>
              <w:rPr>
                <w:rFonts w:ascii="Times New Roman" w:hAnsi="Times New Roman" w:eastAsia="方正仿宋_GBK"/>
                <w:sz w:val="24"/>
                <w:highlight w:val="none"/>
              </w:rPr>
              <w:t>1</w:t>
            </w:r>
            <w:r>
              <w:rPr>
                <w:rFonts w:ascii="Times New Roman" w:eastAsia="方正仿宋_GBK"/>
                <w:sz w:val="24"/>
                <w:highlight w:val="none"/>
              </w:rPr>
              <w:t>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sz w:val="24"/>
                <w:highlight w:val="none"/>
              </w:rPr>
            </w:pPr>
            <w:r>
              <w:rPr>
                <w:rFonts w:ascii="Times New Roman" w:eastAsia="方正仿宋_GBK"/>
                <w:sz w:val="24"/>
                <w:highlight w:val="none"/>
              </w:rPr>
              <w:t>违约责任</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sz w:val="24"/>
                <w:highlight w:val="none"/>
              </w:rPr>
            </w:pPr>
            <w:r>
              <w:rPr>
                <w:rFonts w:ascii="Times New Roman" w:eastAsia="方正仿宋_GBK"/>
                <w:sz w:val="24"/>
                <w:highlight w:val="none"/>
              </w:rPr>
              <w:t>不按期支付出让价款的，</w:t>
            </w:r>
            <w:r>
              <w:rPr>
                <w:rFonts w:ascii="Times New Roman" w:eastAsia="方正仿宋_GBK"/>
                <w:color w:val="000000"/>
                <w:sz w:val="24"/>
                <w:highlight w:val="none"/>
              </w:rPr>
              <w:t>按日支付迟延支付款项</w:t>
            </w:r>
            <w:r>
              <w:rPr>
                <w:rFonts w:ascii="Times New Roman" w:hAnsi="Times New Roman" w:eastAsia="方正仿宋_GBK"/>
                <w:color w:val="000000"/>
                <w:sz w:val="24"/>
                <w:highlight w:val="none"/>
              </w:rPr>
              <w:t>1‰</w:t>
            </w:r>
            <w:r>
              <w:rPr>
                <w:rFonts w:ascii="Times New Roman" w:eastAsia="方正仿宋_GBK"/>
                <w:color w:val="000000"/>
                <w:sz w:val="24"/>
                <w:highlight w:val="none"/>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hAnsi="方正仿宋_GBK" w:eastAsia="方正仿宋_GBK"/>
                <w:kern w:val="0"/>
                <w:sz w:val="24"/>
                <w:highlight w:val="none"/>
              </w:rPr>
              <w:t>土地价款解缴渠道</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sz w:val="24"/>
                <w:highlight w:val="none"/>
              </w:rPr>
            </w:pPr>
            <w:r>
              <w:rPr>
                <w:rFonts w:ascii="Times New Roman" w:hAnsi="方正仿宋_GBK" w:eastAsia="方正仿宋_GBK"/>
                <w:sz w:val="24"/>
                <w:highlight w:val="none"/>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w w:val="90"/>
                <w:kern w:val="0"/>
                <w:sz w:val="24"/>
                <w:highlight w:val="none"/>
              </w:rPr>
              <w:t>地下空间出让价款</w:t>
            </w:r>
            <w:r>
              <w:rPr>
                <w:rFonts w:ascii="Times New Roman" w:hAnsi="Times New Roman" w:eastAsia="方正仿宋_GBK"/>
                <w:w w:val="90"/>
                <w:kern w:val="0"/>
                <w:sz w:val="24"/>
                <w:highlight w:val="none"/>
              </w:rPr>
              <w:t xml:space="preserve">                                                       </w:t>
            </w:r>
            <w:r>
              <w:rPr>
                <w:rFonts w:ascii="Times New Roman" w:eastAsia="方正仿宋_GBK"/>
                <w:w w:val="90"/>
                <w:kern w:val="0"/>
                <w:sz w:val="24"/>
                <w:highlight w:val="none"/>
              </w:rPr>
              <w:t>缴纳约定</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sz w:val="24"/>
                <w:highlight w:val="none"/>
              </w:rPr>
            </w:pPr>
            <w:r>
              <w:rPr>
                <w:rFonts w:ascii="Times New Roman" w:eastAsia="方正仿宋_GBK"/>
                <w:sz w:val="24"/>
                <w:highlight w:val="none"/>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kern w:val="0"/>
                <w:sz w:val="24"/>
                <w:highlight w:val="none"/>
              </w:rPr>
              <w:t>土地交付时间及标准</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sz w:val="24"/>
                <w:highlight w:val="none"/>
              </w:rPr>
            </w:pPr>
            <w:r>
              <w:rPr>
                <w:rFonts w:ascii="Times New Roman" w:eastAsia="方正仿宋_GBK"/>
                <w:sz w:val="24"/>
                <w:highlight w:val="none"/>
              </w:rPr>
              <w:t>按约定出让价款缴纳最后日期之日起</w:t>
            </w:r>
            <w:r>
              <w:rPr>
                <w:rFonts w:ascii="Times New Roman" w:hAnsi="Times New Roman" w:eastAsia="方正仿宋_GBK"/>
                <w:sz w:val="24"/>
                <w:highlight w:val="none"/>
              </w:rPr>
              <w:t>10</w:t>
            </w:r>
            <w:r>
              <w:rPr>
                <w:rFonts w:ascii="Times New Roman" w:eastAsia="方正仿宋_GBK"/>
                <w:sz w:val="24"/>
                <w:highlight w:val="none"/>
              </w:rPr>
              <w:t>个工作日内，按土地现状将该地块交付给受让人，</w:t>
            </w:r>
            <w:r>
              <w:rPr>
                <w:rFonts w:ascii="Times New Roman" w:eastAsia="方正仿宋_GBK"/>
                <w:bCs/>
                <w:sz w:val="24"/>
                <w:highlight w:val="none"/>
              </w:rPr>
              <w:t>地块内</w:t>
            </w:r>
            <w:r>
              <w:rPr>
                <w:rFonts w:ascii="Times New Roman" w:eastAsia="方正仿宋_GBK"/>
                <w:sz w:val="24"/>
                <w:highlight w:val="none"/>
              </w:rPr>
              <w:t>若发现地下管线、管网等地下状况，须按国家现行相关规范要求予以保护或搬迁，所需费用由竞得人自行承担。</w:t>
            </w:r>
            <w:r>
              <w:rPr>
                <w:rFonts w:ascii="Times New Roman" w:eastAsia="方正仿宋_GBK"/>
                <w:bCs/>
                <w:sz w:val="24"/>
                <w:highlight w:val="none"/>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kern w:val="0"/>
                <w:sz w:val="24"/>
                <w:highlight w:val="none"/>
              </w:rPr>
            </w:pPr>
            <w:r>
              <w:rPr>
                <w:rFonts w:ascii="Times New Roman" w:eastAsia="方正仿宋_GBK"/>
                <w:kern w:val="0"/>
                <w:sz w:val="24"/>
                <w:highlight w:val="none"/>
              </w:rPr>
              <w:t>开竣工时间及违约责任</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sz w:val="24"/>
                <w:highlight w:val="none"/>
              </w:rPr>
            </w:pPr>
            <w:r>
              <w:rPr>
                <w:rFonts w:ascii="Times New Roman" w:eastAsia="方正仿宋_GBK"/>
                <w:sz w:val="24"/>
                <w:highlight w:val="none"/>
              </w:rPr>
              <w:t>自《出让合同》约定交地</w:t>
            </w:r>
            <w:r>
              <w:rPr>
                <w:rFonts w:ascii="Times New Roman" w:eastAsia="方正仿宋_GBK"/>
                <w:sz w:val="24"/>
                <w:highlight w:val="none"/>
                <w:shd w:val="clear" w:color="auto" w:fill="FFFFFF"/>
              </w:rPr>
              <w:t>之日起</w:t>
            </w:r>
            <w:r>
              <w:rPr>
                <w:rFonts w:ascii="Times New Roman" w:hAnsi="Times New Roman" w:eastAsia="方正仿宋_GBK"/>
                <w:sz w:val="24"/>
                <w:highlight w:val="none"/>
                <w:shd w:val="clear" w:color="auto" w:fill="FFFFFF"/>
              </w:rPr>
              <w:t>1</w:t>
            </w:r>
            <w:r>
              <w:rPr>
                <w:rFonts w:ascii="Times New Roman" w:eastAsia="方正仿宋_GBK"/>
                <w:sz w:val="24"/>
                <w:highlight w:val="none"/>
                <w:shd w:val="clear" w:color="auto" w:fill="FFFFFF"/>
              </w:rPr>
              <w:t>年内开工，自开工之日起</w:t>
            </w:r>
            <w:r>
              <w:rPr>
                <w:rFonts w:ascii="Times New Roman" w:hAnsi="Times New Roman" w:eastAsia="方正仿宋_GBK"/>
                <w:sz w:val="24"/>
                <w:highlight w:val="none"/>
                <w:shd w:val="clear" w:color="auto" w:fill="FFFFFF"/>
              </w:rPr>
              <w:t>3</w:t>
            </w:r>
            <w:r>
              <w:rPr>
                <w:rFonts w:ascii="Times New Roman" w:eastAsia="方正仿宋_GBK"/>
                <w:sz w:val="24"/>
                <w:highlight w:val="none"/>
                <w:shd w:val="clear" w:color="auto" w:fill="FFFFFF"/>
              </w:rPr>
              <w:t>年内竣工。</w:t>
            </w:r>
            <w:r>
              <w:rPr>
                <w:rFonts w:ascii="Times New Roman" w:eastAsia="方正仿宋_GBK"/>
                <w:color w:val="000000"/>
                <w:sz w:val="24"/>
                <w:highlight w:val="none"/>
              </w:rPr>
              <w:t>未能按照合同约定日期开工、竣工的，按《</w:t>
            </w:r>
            <w:r>
              <w:rPr>
                <w:rFonts w:ascii="Times New Roman" w:eastAsia="方正仿宋_GBK"/>
                <w:sz w:val="24"/>
                <w:highlight w:val="none"/>
              </w:rPr>
              <w:t>闲置土地处置办法》的相关规定办理</w:t>
            </w:r>
            <w:r>
              <w:rPr>
                <w:rFonts w:ascii="Times New Roman" w:eastAsia="方正仿宋_GBK"/>
                <w:color w:val="000000"/>
                <w:sz w:val="24"/>
                <w:highlight w:val="none"/>
              </w:rPr>
              <w:t>。</w:t>
            </w:r>
          </w:p>
        </w:tc>
      </w:tr>
    </w:tbl>
    <w:p>
      <w:pPr>
        <w:numPr>
          <w:ilvl w:val="0"/>
          <w:numId w:val="0"/>
        </w:numPr>
        <w:adjustRightInd w:val="0"/>
        <w:snapToGrid w:val="0"/>
        <w:spacing w:line="620" w:lineRule="exact"/>
        <w:ind w:firstLine="642"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534</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25</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w:t>
      </w:r>
      <w:r>
        <w:rPr>
          <w:rFonts w:hint="eastAsia" w:ascii="Times New Roman" w:hAnsi="Times New Roman" w:eastAsia="方正仿宋_GBK" w:cs="Times New Roman"/>
          <w:color w:val="000000" w:themeColor="text1"/>
          <w:sz w:val="32"/>
          <w:szCs w:val="32"/>
          <w:highlight w:val="none"/>
          <w:lang w:eastAsia="zh-CN"/>
        </w:rPr>
        <w:t>中心</w:t>
      </w:r>
      <w:r>
        <w:rPr>
          <w:rFonts w:ascii="Times New Roman" w:hAnsi="Times New Roman" w:eastAsia="方正仿宋_GBK" w:cs="Times New Roman"/>
          <w:color w:val="000000" w:themeColor="text1"/>
          <w:sz w:val="32"/>
          <w:szCs w:val="32"/>
          <w:highlight w:val="none"/>
        </w:rPr>
        <w:t>账</w:t>
      </w:r>
      <w:r>
        <w:rPr>
          <w:rFonts w:hint="eastAsia" w:ascii="Times New Roman" w:hAnsi="Times New Roman" w:eastAsia="方正仿宋_GBK" w:cs="Times New Roman"/>
          <w:color w:val="000000" w:themeColor="text1"/>
          <w:sz w:val="32"/>
          <w:szCs w:val="32"/>
          <w:highlight w:val="none"/>
          <w:lang w:eastAsia="zh-CN"/>
        </w:rPr>
        <w:t>户</w:t>
      </w:r>
      <w:r>
        <w:rPr>
          <w:rFonts w:ascii="Times New Roman" w:hAnsi="Times New Roman" w:eastAsia="方正仿宋_GBK" w:cs="Times New Roman"/>
          <w:color w:val="000000" w:themeColor="text1"/>
          <w:sz w:val="32"/>
          <w:szCs w:val="32"/>
          <w:highlight w:val="none"/>
        </w:rPr>
        <w:t>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2"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642"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28</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pStyle w:val="2"/>
        <w:rPr>
          <w:rFonts w:ascii="Times New Roman" w:hAnsi="Times New Roman" w:eastAsia="方正仿宋_GBK" w:cs="Times New Roman"/>
          <w:color w:val="000000" w:themeColor="text1"/>
          <w:sz w:val="32"/>
          <w:szCs w:val="32"/>
          <w:highlight w:val="none"/>
        </w:rPr>
      </w:pPr>
    </w:p>
    <w:p>
      <w:pPr>
        <w:rPr>
          <w:highlight w:val="none"/>
        </w:rPr>
      </w:pP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24</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2"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18</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10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27</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10</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1"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hint="eastAsia" w:ascii="Times New Roman" w:hAnsi="Times New Roman" w:eastAsia="方正仿宋_GBK" w:cs="Times New Roman"/>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ascii="Times New Roman" w:hAnsi="Times New Roman" w:eastAsia="方正仿宋_GBK" w:cs="Times New Roman"/>
          <w:sz w:val="32"/>
          <w:szCs w:val="32"/>
          <w:highlight w:val="none"/>
        </w:rPr>
        <w:t>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28</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6672" behindDoc="1" locked="0" layoutInCell="1" allowOverlap="1">
            <wp:simplePos x="0" y="0"/>
            <wp:positionH relativeFrom="page">
              <wp:posOffset>475615</wp:posOffset>
            </wp:positionH>
            <wp:positionV relativeFrom="page">
              <wp:posOffset>1979930</wp:posOffset>
            </wp:positionV>
            <wp:extent cx="6851015" cy="4862195"/>
            <wp:effectExtent l="0" t="0" r="8255" b="13335"/>
            <wp:wrapNone/>
            <wp:docPr id="6"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84"/>
                    <pic:cNvPicPr>
                      <a:picLocks noChangeAspect="true"/>
                    </pic:cNvPicPr>
                  </pic:nvPicPr>
                  <pic:blipFill>
                    <a:blip r:embed="rId10"/>
                    <a:stretch>
                      <a:fillRect/>
                    </a:stretch>
                  </pic:blipFill>
                  <pic:spPr>
                    <a:xfrm>
                      <a:off x="0" y="0"/>
                      <a:ext cx="6851015" cy="4862195"/>
                    </a:xfrm>
                    <a:prstGeom prst="rect">
                      <a:avLst/>
                    </a:prstGeom>
                    <a:noFill/>
                    <a:ln>
                      <a:noFill/>
                    </a:ln>
                  </pic:spPr>
                </pic:pic>
              </a:graphicData>
            </a:graphic>
          </wp:anchor>
        </w:drawing>
      </w:r>
    </w:p>
    <w:p>
      <w:pPr>
        <w:pStyle w:val="20"/>
        <w:ind w:left="0" w:leftChars="0" w:firstLine="0" w:firstLineChars="0"/>
        <w:jc w:val="left"/>
        <w:rPr>
          <w:rFonts w:hint="default" w:ascii="方正小标宋_GBK" w:hAnsi="Times New Roman" w:eastAsia="方正小标宋_GBK" w:cs="Times New Roman"/>
          <w:color w:val="000000" w:themeColor="text1"/>
          <w:sz w:val="44"/>
          <w:szCs w:val="44"/>
          <w:highlight w:val="none"/>
          <w:lang w:val="en-US" w:eastAsia="zh-CN"/>
        </w:rPr>
      </w:pPr>
      <w:r>
        <w:rPr>
          <w:rFonts w:hint="eastAsia" w:ascii="方正小标宋_GBK" w:hAnsi="Times New Roman" w:eastAsia="方正小标宋_GBK" w:cs="Times New Roman"/>
          <w:color w:val="000000" w:themeColor="text1"/>
          <w:sz w:val="44"/>
          <w:szCs w:val="44"/>
          <w:highlight w:val="none"/>
          <w:lang w:val="en-US" w:eastAsia="zh-CN"/>
        </w:rPr>
        <w:t xml:space="preserve">       </w:t>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1312" behindDoc="0" locked="0" layoutInCell="1" allowOverlap="1">
            <wp:simplePos x="0" y="0"/>
            <wp:positionH relativeFrom="page">
              <wp:posOffset>1071245</wp:posOffset>
            </wp:positionH>
            <wp:positionV relativeFrom="page">
              <wp:posOffset>1348740</wp:posOffset>
            </wp:positionV>
            <wp:extent cx="5437505" cy="7686040"/>
            <wp:effectExtent l="0" t="0" r="10795" b="11430"/>
            <wp:wrapNone/>
            <wp:docPr id="1"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32"/>
                    <pic:cNvPicPr>
                      <a:picLocks noChangeAspect="true"/>
                    </pic:cNvPicPr>
                  </pic:nvPicPr>
                  <pic:blipFill>
                    <a:blip r:embed="rId11"/>
                    <a:stretch>
                      <a:fillRect/>
                    </a:stretch>
                  </pic:blipFill>
                  <pic:spPr>
                    <a:xfrm>
                      <a:off x="0" y="0"/>
                      <a:ext cx="5437505" cy="768604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2336" behindDoc="0" locked="0" layoutInCell="1" allowOverlap="1">
            <wp:simplePos x="0" y="0"/>
            <wp:positionH relativeFrom="page">
              <wp:posOffset>1129030</wp:posOffset>
            </wp:positionH>
            <wp:positionV relativeFrom="page">
              <wp:posOffset>1567815</wp:posOffset>
            </wp:positionV>
            <wp:extent cx="5265420" cy="7442835"/>
            <wp:effectExtent l="0" t="0" r="1270" b="3175"/>
            <wp:wrapNone/>
            <wp:docPr id="2"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33"/>
                    <pic:cNvPicPr>
                      <a:picLocks noChangeAspect="true"/>
                    </pic:cNvPicPr>
                  </pic:nvPicPr>
                  <pic:blipFill>
                    <a:blip r:embed="rId12"/>
                    <a:stretch>
                      <a:fillRect/>
                    </a:stretch>
                  </pic:blipFill>
                  <pic:spPr>
                    <a:xfrm>
                      <a:off x="0" y="0"/>
                      <a:ext cx="5265420" cy="7442835"/>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3360" behindDoc="0" locked="0" layoutInCell="1" allowOverlap="1">
            <wp:simplePos x="0" y="0"/>
            <wp:positionH relativeFrom="page">
              <wp:posOffset>862965</wp:posOffset>
            </wp:positionH>
            <wp:positionV relativeFrom="page">
              <wp:posOffset>1280795</wp:posOffset>
            </wp:positionV>
            <wp:extent cx="5931535" cy="8384540"/>
            <wp:effectExtent l="0" t="0" r="5715" b="11430"/>
            <wp:wrapNone/>
            <wp:docPr id="3"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34"/>
                    <pic:cNvPicPr>
                      <a:picLocks noChangeAspect="true"/>
                    </pic:cNvPicPr>
                  </pic:nvPicPr>
                  <pic:blipFill>
                    <a:blip r:embed="rId13"/>
                    <a:stretch>
                      <a:fillRect/>
                    </a:stretch>
                  </pic:blipFill>
                  <pic:spPr>
                    <a:xfrm>
                      <a:off x="0" y="0"/>
                      <a:ext cx="5931535" cy="838454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4384" behindDoc="0" locked="0" layoutInCell="1" allowOverlap="1">
            <wp:simplePos x="0" y="0"/>
            <wp:positionH relativeFrom="page">
              <wp:posOffset>1000760</wp:posOffset>
            </wp:positionH>
            <wp:positionV relativeFrom="page">
              <wp:posOffset>1697355</wp:posOffset>
            </wp:positionV>
            <wp:extent cx="5520690" cy="7804785"/>
            <wp:effectExtent l="0" t="0" r="11430" b="4445"/>
            <wp:wrapNone/>
            <wp:docPr id="4"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35"/>
                    <pic:cNvPicPr>
                      <a:picLocks noChangeAspect="true"/>
                    </pic:cNvPicPr>
                  </pic:nvPicPr>
                  <pic:blipFill>
                    <a:blip r:embed="rId14"/>
                    <a:stretch>
                      <a:fillRect/>
                    </a:stretch>
                  </pic:blipFill>
                  <pic:spPr>
                    <a:xfrm>
                      <a:off x="0" y="0"/>
                      <a:ext cx="5520690" cy="7804785"/>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5408" behindDoc="0" locked="0" layoutInCell="1" allowOverlap="1">
            <wp:simplePos x="0" y="0"/>
            <wp:positionH relativeFrom="page">
              <wp:posOffset>1213485</wp:posOffset>
            </wp:positionH>
            <wp:positionV relativeFrom="page">
              <wp:posOffset>1577340</wp:posOffset>
            </wp:positionV>
            <wp:extent cx="5496560" cy="7769860"/>
            <wp:effectExtent l="0" t="0" r="7620" b="11430"/>
            <wp:wrapNone/>
            <wp:docPr id="5"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36"/>
                    <pic:cNvPicPr>
                      <a:picLocks noChangeAspect="true"/>
                    </pic:cNvPicPr>
                  </pic:nvPicPr>
                  <pic:blipFill>
                    <a:blip r:embed="rId15"/>
                    <a:stretch>
                      <a:fillRect/>
                    </a:stretch>
                  </pic:blipFill>
                  <pic:spPr>
                    <a:xfrm>
                      <a:off x="0" y="0"/>
                      <a:ext cx="5496560" cy="776986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6432" behindDoc="0" locked="0" layoutInCell="1" allowOverlap="1">
            <wp:simplePos x="0" y="0"/>
            <wp:positionH relativeFrom="page">
              <wp:posOffset>1201420</wp:posOffset>
            </wp:positionH>
            <wp:positionV relativeFrom="page">
              <wp:posOffset>1565910</wp:posOffset>
            </wp:positionV>
            <wp:extent cx="5804535" cy="8204835"/>
            <wp:effectExtent l="0" t="0" r="6985" b="9525"/>
            <wp:wrapNone/>
            <wp:docPr id="8"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37"/>
                    <pic:cNvPicPr>
                      <a:picLocks noChangeAspect="true"/>
                    </pic:cNvPicPr>
                  </pic:nvPicPr>
                  <pic:blipFill>
                    <a:blip r:embed="rId16"/>
                    <a:stretch>
                      <a:fillRect/>
                    </a:stretch>
                  </pic:blipFill>
                  <pic:spPr>
                    <a:xfrm>
                      <a:off x="0" y="0"/>
                      <a:ext cx="5804535" cy="8204835"/>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7456" behindDoc="0" locked="0" layoutInCell="1" allowOverlap="1">
            <wp:simplePos x="0" y="0"/>
            <wp:positionH relativeFrom="page">
              <wp:posOffset>601345</wp:posOffset>
            </wp:positionH>
            <wp:positionV relativeFrom="page">
              <wp:posOffset>740410</wp:posOffset>
            </wp:positionV>
            <wp:extent cx="6186170" cy="8743950"/>
            <wp:effectExtent l="0" t="0" r="2540" b="1270"/>
            <wp:wrapNone/>
            <wp:docPr id="9"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38"/>
                    <pic:cNvPicPr>
                      <a:picLocks noChangeAspect="true"/>
                    </pic:cNvPicPr>
                  </pic:nvPicPr>
                  <pic:blipFill>
                    <a:blip r:embed="rId17"/>
                    <a:stretch>
                      <a:fillRect/>
                    </a:stretch>
                  </pic:blipFill>
                  <pic:spPr>
                    <a:xfrm>
                      <a:off x="0" y="0"/>
                      <a:ext cx="6186170" cy="874395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LKYD-2022-035</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18</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27</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LKYD-2022-035</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Times New Roman" w:hAnsi="Times New Roman" w:eastAsia="方正仿宋简体" w:cs="Times New Roman"/>
          <w:sz w:val="32"/>
          <w:szCs w:val="32"/>
          <w:highlight w:val="none"/>
          <w:u w:val="single"/>
          <w:lang w:val="en-US" w:eastAsia="zh-CN"/>
        </w:rPr>
        <w:t>534</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伍佰叁</w:t>
      </w:r>
      <w:r>
        <w:rPr>
          <w:rFonts w:ascii="Times New Roman" w:hAnsi="Times New Roman" w:eastAsia="方正仿宋简体" w:cs="Times New Roman"/>
          <w:sz w:val="32"/>
          <w:szCs w:val="32"/>
          <w:highlight w:val="none"/>
        </w:rPr>
        <w:t>拾</w:t>
      </w:r>
      <w:r>
        <w:rPr>
          <w:rFonts w:hint="eastAsia" w:ascii="Times New Roman" w:hAnsi="Times New Roman" w:eastAsia="方正仿宋简体" w:cs="Times New Roman"/>
          <w:sz w:val="32"/>
          <w:szCs w:val="32"/>
          <w:highlight w:val="none"/>
          <w:lang w:eastAsia="zh-CN"/>
        </w:rPr>
        <w:t>肆</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rPr>
          <w:rFonts w:hint="default"/>
          <w:highlight w:val="none"/>
          <w:lang w:val="en-US" w:eastAsia="zh-CN"/>
        </w:rPr>
      </w:pP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2"/>
                <w:szCs w:val="32"/>
                <w:highlight w:val="none"/>
                <w:u w:val="single"/>
                <w:lang w:val="en-US" w:eastAsia="zh-CN"/>
              </w:rPr>
              <w:t>LKYD-2022-035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7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02"/>
        <w:gridCol w:w="2676"/>
        <w:gridCol w:w="1326"/>
        <w:gridCol w:w="2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highlight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b w:val="0"/>
          <w:bCs w:val="0"/>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b w:val="0"/>
          <w:bCs w:val="0"/>
          <w:sz w:val="32"/>
          <w:highlight w:val="none"/>
        </w:rPr>
      </w:pPr>
    </w:p>
    <w:p>
      <w:pPr>
        <w:spacing w:line="46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shape id="_x0000_s2187" o:spid="_x0000_s2187" o:spt="100" style="position:absolute;left:0pt;margin-left:0pt;margin-top:0pt;height:50pt;width:50pt;visibility:hidden;z-index:251670528;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b w:val="0"/>
          <w:bCs w:val="0"/>
          <w:sz w:val="32"/>
          <w:highlight w:val="none"/>
        </w:rPr>
        <w:drawing>
          <wp:inline distT="0" distB="0" distL="114300" distR="114300">
            <wp:extent cx="1590675" cy="381000"/>
            <wp:effectExtent l="0" t="0" r="1905" b="10160"/>
            <wp:docPr id="11" name="图片 1" descr="030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descr="03000001"/>
                    <pic:cNvPicPr>
                      <a:picLocks noChangeAspect="true"/>
                    </pic:cNvPicPr>
                  </pic:nvPicPr>
                  <pic:blipFill>
                    <a:blip r:embed="rId18"/>
                    <a:stretch>
                      <a:fillRect/>
                    </a:stretch>
                  </pic:blipFill>
                  <pic:spPr>
                    <a:xfrm>
                      <a:off x="0" y="0"/>
                      <a:ext cx="1590675" cy="381000"/>
                    </a:xfrm>
                    <a:prstGeom prst="rect">
                      <a:avLst/>
                    </a:prstGeom>
                    <a:noFill/>
                    <a:ln>
                      <a:noFill/>
                    </a:ln>
                  </pic:spPr>
                </pic:pic>
              </a:graphicData>
            </a:graphic>
          </wp:inline>
        </w:drawing>
      </w:r>
    </w:p>
    <w:p>
      <w:pPr>
        <w:pStyle w:val="7"/>
        <w:wordWrap w:val="0"/>
        <w:jc w:val="righ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电子监管号：　　　　　　　　　</w:t>
      </w:r>
    </w:p>
    <w:p>
      <w:pPr>
        <w:pStyle w:val="7"/>
        <w:outlineLvl w:val="0"/>
        <w:rPr>
          <w:rFonts w:ascii="Times New Roman" w:hAnsi="Times New Roman" w:eastAsia="方正仿宋_GBK" w:cs="Times New Roman"/>
          <w:b w:val="0"/>
          <w:bCs w:val="0"/>
          <w:sz w:val="32"/>
          <w:highlight w:val="none"/>
        </w:rPr>
      </w:pPr>
    </w:p>
    <w:p>
      <w:pPr>
        <w:pStyle w:val="7"/>
        <w:rPr>
          <w:rStyle w:val="27"/>
          <w:rFonts w:ascii="Times New Roman" w:hAnsi="Times New Roman" w:eastAsia="方正仿宋_GBK" w:cs="Times New Roman"/>
          <w:b w:val="0"/>
          <w:bCs w:val="0"/>
          <w:sz w:val="32"/>
          <w:highlight w:val="none"/>
        </w:rPr>
      </w:pPr>
    </w:p>
    <w:p>
      <w:pPr>
        <w:pStyle w:val="7"/>
        <w:jc w:val="center"/>
        <w:rPr>
          <w:rFonts w:ascii="方正小标宋_GBK" w:hAnsi="Times New Roman" w:eastAsia="方正小标宋_GBK" w:cs="Times New Roman"/>
          <w:b w:val="0"/>
          <w:bCs w:val="0"/>
          <w:sz w:val="32"/>
          <w:highlight w:val="none"/>
        </w:rPr>
      </w:pPr>
      <w:r>
        <w:rPr>
          <w:rFonts w:hint="eastAsia" w:ascii="方正小标宋_GBK" w:hAnsi="Times New Roman" w:eastAsia="方正小标宋_GBK" w:cs="Times New Roman"/>
          <w:b w:val="0"/>
          <w:bCs w:val="0"/>
          <w:sz w:val="48"/>
          <w:szCs w:val="48"/>
          <w:highlight w:val="none"/>
        </w:rPr>
        <w:t>国有建设用地使用权出让合同</w:t>
      </w: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8" o:spid="_x0000_s2188" o:spt="1" style="position:absolute;left:0pt;margin-left:19.5pt;margin-top:31.2pt;height:62.4pt;width:304.5pt;z-index:-25164800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 家 市 场 监 督 管 理 总 局</w:t>
                  </w:r>
                </w:p>
              </w:txbxContent>
            </v:textbox>
          </v:rect>
        </w:pict>
      </w:r>
    </w:p>
    <w:p>
      <w:pPr>
        <w:pStyle w:val="7"/>
        <w:spacing w:line="500" w:lineRule="exact"/>
        <w:jc w:val="lef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9" o:spid="_x0000_s2189" o:spt="1" style="position:absolute;left:0pt;margin-left:319.5pt;margin-top:11.85pt;height:63.35pt;width:48.75pt;z-index:-25164697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b w:val="0"/>
          <w:bCs w:val="0"/>
          <w:sz w:val="32"/>
          <w:highlight w:val="none"/>
        </w:rPr>
        <w:t xml:space="preserve">         </w:t>
      </w:r>
    </w:p>
    <w:p>
      <w:pPr>
        <w:pStyle w:val="7"/>
        <w:spacing w:line="500" w:lineRule="exact"/>
        <w:jc w:val="left"/>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合同编号：</w:t>
      </w:r>
      <w:r>
        <w:rPr>
          <w:rFonts w:ascii="Times New Roman" w:hAnsi="Times New Roman" w:eastAsia="方正仿宋_GBK" w:cs="Times New Roman"/>
          <w:b w:val="0"/>
          <w:bCs w:val="0"/>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val="0"/>
          <w:bCs w:val="0"/>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val="0"/>
          <w:bCs w:val="0"/>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cs="Times New Roman"/>
          <w:b w:val="0"/>
          <w:bCs w:val="0"/>
          <w:kern w:val="2"/>
          <w:sz w:val="32"/>
          <w:szCs w:val="32"/>
          <w:highlight w:val="none"/>
        </w:rPr>
      </w:pPr>
      <w:r>
        <w:rPr>
          <w:rFonts w:hint="eastAsia" w:ascii="方正黑体_GBK" w:hAnsi="方正仿宋_GBK" w:eastAsia="方正黑体_GBK" w:cs="方正仿宋_GBK"/>
          <w:b w:val="0"/>
          <w:bCs w:val="0"/>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b w:val="0"/>
          <w:bCs w:val="0"/>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出让人：</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通讯地址：</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邮政编码：</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电话：</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传真：</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开户银行：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账号：</w:t>
      </w:r>
      <w:r>
        <w:rPr>
          <w:rFonts w:ascii="Times New Roman" w:hAnsi="Times New Roman" w:eastAsia="方正仿宋_GBK" w:cs="Times New Roman"/>
          <w:b w:val="0"/>
          <w:bCs w:val="0"/>
          <w:kern w:val="2"/>
          <w:sz w:val="32"/>
          <w:szCs w:val="32"/>
          <w:highlight w:val="non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受让人：</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rPr>
        <w:softHyphen/>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通讯地址：</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邮政编码：</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电话：</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传真：</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开户银行：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账号：</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7"/>
        <w:ind w:firstLine="640" w:firstLineChars="200"/>
        <w:rPr>
          <w:rFonts w:ascii="Times New Roman" w:hAnsi="Times New Roman" w:eastAsia="方正仿宋_GBK" w:cs="Times New Roman"/>
          <w:b w:val="0"/>
          <w:bCs w:val="0"/>
          <w:sz w:val="32"/>
          <w:highlight w:val="none"/>
        </w:rPr>
      </w:pPr>
    </w:p>
    <w:p>
      <w:pPr>
        <w:pStyle w:val="7"/>
        <w:jc w:val="both"/>
        <w:rPr>
          <w:rFonts w:ascii="Times New Roman" w:hAnsi="Times New Roman" w:eastAsia="方正仿宋_GBK" w:cs="Times New Roman"/>
          <w:b w:val="0"/>
          <w:bCs w:val="0"/>
          <w:sz w:val="32"/>
          <w:highlight w:val="none"/>
        </w:rPr>
      </w:pPr>
    </w:p>
    <w:p>
      <w:pPr>
        <w:pStyle w:val="7"/>
        <w:jc w:val="center"/>
        <w:rPr>
          <w:rFonts w:ascii="Times New Roman" w:hAnsi="Times New Roman" w:eastAsia="方正仿宋_GBK" w:cs="Times New Roman"/>
          <w:b w:val="0"/>
          <w:bCs w:val="0"/>
          <w:sz w:val="32"/>
          <w:highlight w:val="none"/>
        </w:rPr>
      </w:pPr>
    </w:p>
    <w:p>
      <w:pPr>
        <w:pStyle w:val="7"/>
        <w:spacing w:line="600" w:lineRule="exact"/>
        <w:jc w:val="center"/>
        <w:rPr>
          <w:rFonts w:ascii="方正黑体_GBK" w:hAnsi="Times New Roman" w:eastAsia="方正黑体_GBK" w:cs="Times New Roman"/>
          <w:b w:val="0"/>
          <w:bCs w:val="0"/>
          <w:sz w:val="32"/>
          <w:highlight w:val="none"/>
        </w:rPr>
      </w:pPr>
      <w:r>
        <w:rPr>
          <w:rFonts w:hint="eastAsia" w:ascii="方正黑体_GBK" w:hAnsi="Times New Roman" w:eastAsia="方正黑体_GBK" w:cs="Times New Roman"/>
          <w:b w:val="0"/>
          <w:bCs w:val="0"/>
          <w:sz w:val="32"/>
          <w:highlight w:val="none"/>
        </w:rPr>
        <w:t>第一章 总   则</w:t>
      </w:r>
    </w:p>
    <w:p>
      <w:pPr>
        <w:pStyle w:val="7"/>
        <w:spacing w:line="600" w:lineRule="exact"/>
        <w:jc w:val="center"/>
        <w:rPr>
          <w:rFonts w:ascii="Times New Roman" w:hAnsi="Times New Roman" w:eastAsia="方正仿宋_GBK" w:cs="Times New Roman"/>
          <w:b w:val="0"/>
          <w:bCs w:val="0"/>
          <w:sz w:val="32"/>
          <w:highlight w:val="none"/>
        </w:rPr>
      </w:pPr>
    </w:p>
    <w:p>
      <w:pPr>
        <w:pStyle w:val="13"/>
        <w:autoSpaceDE w:val="0"/>
        <w:spacing w:before="0" w:beforeAutospacing="0" w:after="0" w:afterAutospacing="0" w:line="600" w:lineRule="exact"/>
        <w:ind w:firstLine="627" w:firstLineChars="196"/>
        <w:jc w:val="both"/>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第一条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根据</w:t>
      </w:r>
      <w:r>
        <w:rPr>
          <w:rFonts w:ascii="Times New Roman" w:hAnsi="Times New Roman" w:eastAsia="方正仿宋_GBK" w:cs="Times New Roman"/>
          <w:b w:val="0"/>
          <w:bCs w:val="0"/>
          <w:sz w:val="32"/>
          <w:szCs w:val="32"/>
          <w:highlight w:val="none"/>
        </w:rPr>
        <w:t>《中华人民共和国</w:t>
      </w:r>
      <w:r>
        <w:rPr>
          <w:rFonts w:hint="eastAsia" w:ascii="Times New Roman" w:hAnsi="Times New Roman" w:eastAsia="方正仿宋_GBK" w:cs="Times New Roman"/>
          <w:b w:val="0"/>
          <w:bCs w:val="0"/>
          <w:sz w:val="32"/>
          <w:szCs w:val="32"/>
          <w:highlight w:val="none"/>
        </w:rPr>
        <w:t>民法典</w:t>
      </w:r>
      <w:r>
        <w:rPr>
          <w:rFonts w:ascii="Times New Roman" w:hAnsi="Times New Roman" w:eastAsia="方正仿宋_GBK" w:cs="Times New Roman"/>
          <w:b w:val="0"/>
          <w:bCs w:val="0"/>
          <w:sz w:val="32"/>
          <w:szCs w:val="32"/>
          <w:highlight w:val="none"/>
        </w:rPr>
        <w:t>》</w:t>
      </w:r>
      <w:r>
        <w:rPr>
          <w:rFonts w:hint="eastAsia" w:ascii="方正仿宋_GBK" w:hAnsi="方正仿宋_GBK" w:eastAsia="方正仿宋_GBK" w:cs="方正仿宋_GBK"/>
          <w:b w:val="0"/>
          <w:bCs w:val="0"/>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b w:val="0"/>
          <w:bCs w:val="0"/>
          <w:sz w:val="32"/>
          <w:highlight w:val="none"/>
        </w:rPr>
        <w:t xml:space="preserve">      </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第三条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第二章 出让土地的交付与出让价款的缴纳</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本合同项下出让宗地编号为</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，宗地总面积大写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平方米），其中出让宗地面积为大写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本合同项下的出让宗地坐落于</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b w:val="0"/>
          <w:bCs w:val="0"/>
          <w:sz w:val="32"/>
          <w:highlight w:val="none"/>
          <w:u w:val="single"/>
        </w:rPr>
        <w:t xml:space="preserve">                 </w:t>
      </w:r>
      <w:r>
        <w:rPr>
          <w:rFonts w:ascii="Times New Roman" w:hAnsi="Times New Roman" w:eastAsia="方正仿宋_GBK" w:cs="Times New Roman"/>
          <w:b w:val="0"/>
          <w:bCs w:val="0"/>
          <w:sz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本合同项下出让宗地的平面界址为</w:t>
      </w:r>
      <w:r>
        <w:rPr>
          <w:rFonts w:ascii="Times New Roman" w:hAnsi="Times New Roman" w:eastAsia="方正仿宋_GBK" w:cs="Times New Roman"/>
          <w:b w:val="0"/>
          <w:bCs w:val="0"/>
          <w:kern w:val="2"/>
          <w:sz w:val="32"/>
          <w:szCs w:val="32"/>
          <w:highlight w:val="none"/>
          <w:u w:val="single"/>
        </w:rPr>
        <w:t xml:space="preserve">   /      </w:t>
      </w:r>
      <w:r>
        <w:rPr>
          <w:rFonts w:hint="eastAsia" w:ascii="方正仿宋_GBK" w:hAnsi="方正仿宋_GBK" w:eastAsia="方正仿宋_GBK" w:cs="方正仿宋_GBK"/>
          <w:b w:val="0"/>
          <w:bCs w:val="0"/>
          <w:kern w:val="2"/>
          <w:sz w:val="32"/>
          <w:szCs w:val="32"/>
          <w:highlight w:val="none"/>
        </w:rPr>
        <w:t>；出让宗地的平面界址图见附件</w:t>
      </w:r>
      <w:r>
        <w:rPr>
          <w:rFonts w:ascii="Times New Roman" w:hAnsi="Times New Roman" w:eastAsia="方正仿宋_GBK" w:cs="Times New Roman"/>
          <w:b w:val="0"/>
          <w:bCs w:val="0"/>
          <w:kern w:val="2"/>
          <w:sz w:val="32"/>
          <w:szCs w:val="32"/>
          <w:highlight w:val="none"/>
        </w:rPr>
        <w:t>1</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u w:val="single"/>
        </w:rPr>
      </w:pPr>
      <w:r>
        <w:rPr>
          <w:rFonts w:hint="eastAsia" w:ascii="方正仿宋_GBK" w:hAnsi="方正仿宋_GBK" w:eastAsia="方正仿宋_GBK" w:cs="方正仿宋_GBK"/>
          <w:b w:val="0"/>
          <w:bCs w:val="0"/>
          <w:kern w:val="2"/>
          <w:sz w:val="32"/>
          <w:szCs w:val="32"/>
          <w:highlight w:val="none"/>
        </w:rPr>
        <w:t>出让宗地空间范围是以上述界址点所构成的垂直面和上、下界限高程平面封闭形成的空间范围。</w:t>
      </w:r>
    </w:p>
    <w:p>
      <w:pPr>
        <w:pStyle w:val="7"/>
        <w:tabs>
          <w:tab w:val="left" w:pos="1260"/>
        </w:tabs>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 xml:space="preserve">第五条 </w:t>
      </w:r>
      <w:r>
        <w:rPr>
          <w:rFonts w:ascii="Times New Roman" w:hAnsi="Times New Roman" w:eastAsia="方正仿宋_GBK" w:cs="Times New Roman"/>
          <w:b w:val="0"/>
          <w:bCs w:val="0"/>
          <w:sz w:val="32"/>
          <w:highlight w:val="none"/>
        </w:rPr>
        <w:t xml:space="preserve"> 本合同项下出让宗地的用途为 </w:t>
      </w:r>
      <w:r>
        <w:rPr>
          <w:rFonts w:hint="eastAsia"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用地</w:t>
      </w:r>
      <w:r>
        <w:rPr>
          <w:rFonts w:ascii="Times New Roman" w:hAnsi="Times New Roman" w:eastAsia="方正仿宋_GBK" w:cs="Times New Roman"/>
          <w:b w:val="0"/>
          <w:bCs w:val="0"/>
          <w:sz w:val="32"/>
          <w:highlight w:val="none"/>
        </w:rPr>
        <w:t>。</w:t>
      </w:r>
    </w:p>
    <w:p>
      <w:pPr>
        <w:spacing w:line="600" w:lineRule="exact"/>
        <w:ind w:firstLine="640" w:firstLineChars="200"/>
        <w:jc w:val="left"/>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sz w:val="32"/>
          <w:szCs w:val="32"/>
          <w:highlight w:val="none"/>
        </w:rPr>
        <w:t>第六条</w:t>
      </w:r>
      <w:r>
        <w:rPr>
          <w:rFonts w:ascii="Times New Roman" w:hAnsi="Times New Roman" w:eastAsia="方正仿宋_GBK" w:cs="Times New Roman"/>
          <w:b w:val="0"/>
          <w:bCs w:val="0"/>
          <w:sz w:val="32"/>
          <w:szCs w:val="32"/>
          <w:highlight w:val="none"/>
        </w:rPr>
        <w:t xml:space="preserve">   </w:t>
      </w:r>
      <w:r>
        <w:rPr>
          <w:rFonts w:hint="eastAsia" w:ascii="方正仿宋简体" w:hAnsi="方正仿宋简体" w:eastAsia="方正仿宋简体" w:cs="方正仿宋简体"/>
          <w:b w:val="0"/>
          <w:bCs w:val="0"/>
          <w:sz w:val="32"/>
          <w:szCs w:val="32"/>
          <w:highlight w:val="none"/>
        </w:rPr>
        <w:t>受让人按本合同第十条约定时限缴清全部国有建设用地使用权出让价款（含延迟缴纳国有建设用地使用权出让价款及违约金）并安装完成《建设项目用地信息公示牌》后，应在</w:t>
      </w:r>
      <w:r>
        <w:rPr>
          <w:rFonts w:ascii="Times New Roman" w:hAnsi="Times New Roman" w:eastAsia="方正仿宋_GBK" w:cs="Times New Roman"/>
          <w:b w:val="0"/>
          <w:bCs w:val="0"/>
          <w:sz w:val="32"/>
          <w:szCs w:val="32"/>
          <w:highlight w:val="none"/>
        </w:rPr>
        <w:t>10</w:t>
      </w:r>
      <w:r>
        <w:rPr>
          <w:rFonts w:hint="eastAsia" w:ascii="方正仿宋_GBK" w:hAnsi="方正仿宋_GBK" w:eastAsia="方正仿宋_GBK" w:cs="方正仿宋_GBK"/>
          <w:b w:val="0"/>
          <w:bCs w:val="0"/>
          <w:sz w:val="32"/>
          <w:szCs w:val="32"/>
          <w:highlight w:val="none"/>
        </w:rPr>
        <w:t>个工作日内</w:t>
      </w:r>
      <w:r>
        <w:rPr>
          <w:rFonts w:hint="eastAsia" w:ascii="方正仿宋简体" w:hAnsi="方正仿宋简体" w:eastAsia="方正仿宋简体" w:cs="方正仿宋简体"/>
          <w:b w:val="0"/>
          <w:bCs w:val="0"/>
          <w:sz w:val="32"/>
          <w:szCs w:val="32"/>
          <w:highlight w:val="none"/>
        </w:rPr>
        <w:t>向出让人提出交地申请，</w:t>
      </w:r>
      <w:r>
        <w:rPr>
          <w:rFonts w:hint="eastAsia" w:ascii="方正仿宋_GBK" w:hAnsi="方正仿宋_GBK" w:eastAsia="方正仿宋_GBK" w:cs="方正仿宋_GBK"/>
          <w:b w:val="0"/>
          <w:bCs w:val="0"/>
          <w:sz w:val="32"/>
          <w:szCs w:val="32"/>
          <w:highlight w:val="none"/>
        </w:rPr>
        <w:t>出让人同意在</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年</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月</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sz w:val="32"/>
          <w:szCs w:val="32"/>
          <w:highlight w:val="none"/>
        </w:rPr>
      </w:pPr>
      <w:r>
        <w:rPr>
          <w:rFonts w:hint="eastAsia" w:ascii="方正仿宋_GBK" w:hAnsi="方正仿宋_GBK" w:eastAsia="方正仿宋_GBK" w:cs="方正仿宋_GBK"/>
          <w:b w:val="0"/>
          <w:bCs w:val="0"/>
          <w:kern w:val="2"/>
          <w:sz w:val="32"/>
          <w:szCs w:val="32"/>
          <w:highlight w:val="none"/>
        </w:rPr>
        <w:t>出让人同意在交付土地时该宗地应达到本条第</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项规定的土地条件：</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（一）场地平整达到</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周围基础设施达到</w:t>
      </w:r>
      <w:r>
        <w:rPr>
          <w:rFonts w:ascii="Times New Roman" w:hAnsi="Times New Roman" w:eastAsia="方正仿宋_GBK" w:cs="Times New Roman"/>
          <w:b w:val="0"/>
          <w:bCs w:val="0"/>
          <w:sz w:val="32"/>
          <w:highlight w:val="none"/>
          <w:u w:val="single"/>
        </w:rPr>
        <w:t xml:space="preserve">           /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（二）现状土地条件</w:t>
      </w:r>
      <w:r>
        <w:rPr>
          <w:rFonts w:hint="eastAsia"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第七条</w:t>
      </w:r>
      <w:r>
        <w:rPr>
          <w:rFonts w:ascii="Times New Roman" w:hAnsi="Times New Roman" w:eastAsia="方正仿宋_GBK" w:cs="Times New Roman"/>
          <w:b w:val="0"/>
          <w:bCs w:val="0"/>
          <w:sz w:val="32"/>
          <w:highlight w:val="none"/>
        </w:rPr>
        <w:t xml:space="preserve">  本合同项下的国有建设用地使用权出让年期为</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年，按本合同第六条约定的交付土地之日起算。</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第八条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本合同项下宗地的地表国有建设用地使用权出让价款为人民币大写</w:t>
      </w:r>
      <w:r>
        <w:rPr>
          <w:rFonts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（小写</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 xml:space="preserve">    </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元），每平方米人民币大写</w:t>
      </w:r>
      <w:r>
        <w:rPr>
          <w:rFonts w:hint="eastAsia" w:ascii="Times New Roman" w:hAnsi="Times New Roman" w:eastAsia="方正仿宋简体" w:cs="Times New Roman"/>
          <w:b w:val="0"/>
          <w:bCs w:val="0"/>
          <w:sz w:val="32"/>
          <w:highlight w:val="none"/>
          <w:u w:val="single"/>
        </w:rPr>
        <w:t xml:space="preserve">         </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rPr>
        <w:t>元</w:t>
      </w:r>
      <w:r>
        <w:rPr>
          <w:rFonts w:hint="eastAsia" w:ascii="方正仿宋_GBK" w:hAnsi="方正仿宋_GBK" w:eastAsia="方正仿宋_GBK" w:cs="方正仿宋_GBK"/>
          <w:b w:val="0"/>
          <w:bCs w:val="0"/>
          <w:sz w:val="32"/>
          <w:highlight w:val="none"/>
        </w:rPr>
        <w:t>（小写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w:t>
      </w:r>
    </w:p>
    <w:p>
      <w:pPr>
        <w:pStyle w:val="13"/>
        <w:spacing w:before="0" w:beforeAutospacing="0" w:after="0" w:afterAutospacing="0" w:line="600" w:lineRule="exact"/>
        <w:ind w:firstLine="640" w:firstLineChars="200"/>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第九条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本合同项下宗地的定金为人民币大写</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（小写</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元），定金抵作首期国有建设用地使用权出让价款。</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楷体_GBK" w:hAnsi="Times New Roman" w:eastAsia="方正楷体_GBK" w:cs="Times New Roman"/>
          <w:b w:val="0"/>
          <w:bCs w:val="0"/>
          <w:kern w:val="2"/>
          <w:sz w:val="32"/>
          <w:szCs w:val="32"/>
          <w:highlight w:val="none"/>
        </w:rPr>
        <w:t>第十条</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受让人同意按照本条第一款第</w:t>
      </w:r>
      <w:r>
        <w:rPr>
          <w:rFonts w:hint="eastAsia" w:ascii="Times New Roman" w:hAnsi="Times New Roman" w:eastAsia="方正仿宋简体" w:cs="Times New Roman"/>
          <w:b w:val="0"/>
          <w:bCs w:val="0"/>
          <w:kern w:val="2"/>
          <w:sz w:val="32"/>
          <w:szCs w:val="32"/>
          <w:highlight w:val="none"/>
          <w:u w:val="single"/>
        </w:rPr>
        <w:t xml:space="preserve"> （二） </w:t>
      </w:r>
      <w:r>
        <w:rPr>
          <w:rFonts w:hint="eastAsia" w:ascii="方正仿宋_GBK" w:hAnsi="方正仿宋_GBK" w:eastAsia="方正仿宋_GBK" w:cs="方正仿宋_GBK"/>
          <w:b w:val="0"/>
          <w:bCs w:val="0"/>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（一）本合同签订之日起</w:t>
      </w:r>
      <w:r>
        <w:rPr>
          <w:rFonts w:ascii="Times New Roman" w:hAnsi="Times New Roman" w:eastAsia="方正仿宋_GBK" w:cs="Times New Roman"/>
          <w:b w:val="0"/>
          <w:bCs w:val="0"/>
          <w:kern w:val="2"/>
          <w:sz w:val="32"/>
          <w:szCs w:val="32"/>
          <w:highlight w:val="none"/>
          <w:u w:val="single"/>
        </w:rPr>
        <w:t xml:space="preserve"> </w:t>
      </w:r>
      <w:r>
        <w:rPr>
          <w:rFonts w:hint="eastAsia" w:ascii="仿宋_GB2312" w:hAnsi="仿宋_GB2312" w:eastAsia="仿宋_GB2312" w:cs="仿宋_GB2312"/>
          <w:b w:val="0"/>
          <w:bCs w:val="0"/>
          <w:kern w:val="2"/>
          <w:sz w:val="32"/>
          <w:szCs w:val="32"/>
          <w:highlight w:val="none"/>
          <w:u w:val="single"/>
        </w:rPr>
        <w:t>/</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（二）按以下时间和金额分</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第一期</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人民币大写</w:t>
      </w:r>
      <w:r>
        <w:rPr>
          <w:rFonts w:ascii="Times New Roman" w:hAnsi="Times New Roman" w:eastAsia="方正仿宋_GBK" w:cs="Times New Roman"/>
          <w:b w:val="0"/>
          <w:bCs w:val="0"/>
          <w:kern w:val="2"/>
          <w:sz w:val="32"/>
          <w:szCs w:val="32"/>
          <w:highlight w:val="non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万元（小写</w:t>
      </w:r>
      <w:r>
        <w:rPr>
          <w:rFonts w:ascii="Times New Roman" w:hAnsi="Times New Roman" w:eastAsia="方正仿宋_GBK" w:cs="Times New Roman"/>
          <w:b w:val="0"/>
          <w:bCs w:val="0"/>
          <w:kern w:val="2"/>
          <w:sz w:val="32"/>
          <w:szCs w:val="32"/>
          <w:highlight w:val="non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元），付款时间：</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年</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月</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日之前。</w:t>
      </w:r>
      <w:r>
        <w:rPr>
          <w:rFonts w:ascii="Times New Roman" w:hAnsi="Times New Roman" w:eastAsia="方正仿宋_GBK" w:cs="Times New Roman"/>
          <w:b w:val="0"/>
          <w:bCs w:val="0"/>
          <w:kern w:val="2"/>
          <w:sz w:val="32"/>
          <w:szCs w:val="32"/>
          <w:highlight w:val="none"/>
        </w:rPr>
        <w:t xml:space="preserve"> </w:t>
      </w:r>
    </w:p>
    <w:p>
      <w:pPr>
        <w:pStyle w:val="7"/>
        <w:spacing w:line="600" w:lineRule="exact"/>
        <w:ind w:firstLine="630"/>
        <w:rPr>
          <w:rFonts w:ascii="Times New Roman" w:hAnsi="Times New Roman" w:eastAsia="方正仿宋_GBK" w:cs="Times New Roman"/>
          <w:b w:val="0"/>
          <w:bCs w:val="0"/>
          <w:sz w:val="32"/>
          <w:highlight w:val="none"/>
        </w:rPr>
      </w:pPr>
      <w:r>
        <w:rPr>
          <w:rFonts w:hint="eastAsia" w:ascii="方正仿宋_GBK" w:hAnsi="方正仿宋_GBK" w:eastAsia="方正仿宋_GBK" w:cs="方正仿宋_GBK"/>
          <w:b w:val="0"/>
          <w:bCs w:val="0"/>
          <w:sz w:val="32"/>
          <w:highlight w:val="none"/>
        </w:rPr>
        <w:t>第二期</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人民币大写</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万元（小写</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元），付款时间：</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年</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月</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日之前。</w:t>
      </w:r>
      <w:r>
        <w:rPr>
          <w:rFonts w:ascii="Times New Roman" w:hAnsi="Times New Roman" w:eastAsia="方正仿宋_GBK" w:cs="Times New Roman"/>
          <w:b w:val="0"/>
          <w:bCs w:val="0"/>
          <w:sz w:val="32"/>
          <w:highlight w:val="none"/>
        </w:rPr>
        <w:t xml:space="preserve">    </w:t>
      </w:r>
    </w:p>
    <w:p>
      <w:pPr>
        <w:pStyle w:val="13"/>
        <w:spacing w:before="0" w:beforeAutospacing="0" w:after="0" w:afterAutospacing="0" w:line="600" w:lineRule="exact"/>
        <w:ind w:firstLine="640" w:firstLineChars="200"/>
        <w:jc w:val="both"/>
        <w:rPr>
          <w:rFonts w:ascii="方正仿宋_GBK" w:hAnsi="方正仿宋_GBK" w:eastAsia="方正仿宋_GBK" w:cs="方正仿宋_GBK"/>
          <w:b w:val="0"/>
          <w:bCs w:val="0"/>
          <w:kern w:val="2"/>
          <w:sz w:val="32"/>
          <w:szCs w:val="32"/>
          <w:highlight w:val="none"/>
        </w:rPr>
      </w:pPr>
      <w:r>
        <w:rPr>
          <w:rFonts w:ascii="方正楷体_GBK" w:hAnsi="Times New Roman" w:eastAsia="方正楷体_GBK" w:cs="Times New Roman"/>
          <w:b w:val="0"/>
          <w:bCs w:val="0"/>
          <w:kern w:val="2"/>
          <w:sz w:val="32"/>
          <w:szCs w:val="32"/>
          <w:highlight w:val="none"/>
        </w:rPr>
        <w:t>第十一条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受让人应在按本合同约定付清本宗地全部国有建设用地使用权出让价款（含延迟缴纳国有建设用地使用权出让价款</w:t>
      </w:r>
      <w:r>
        <w:rPr>
          <w:rFonts w:hint="default" w:ascii="方正仿宋_GBK" w:hAnsi="方正仿宋_GBK" w:eastAsia="方正仿宋_GBK" w:cs="方正仿宋_GBK"/>
          <w:b w:val="0"/>
          <w:bCs w:val="0"/>
          <w:kern w:val="2"/>
          <w:sz w:val="32"/>
          <w:szCs w:val="32"/>
          <w:highlight w:val="none"/>
        </w:rPr>
        <w:t>及</w:t>
      </w:r>
      <w:r>
        <w:rPr>
          <w:rFonts w:hint="eastAsia" w:ascii="方正仿宋_GBK" w:hAnsi="方正仿宋_GBK" w:eastAsia="方正仿宋_GBK" w:cs="方正仿宋_GBK"/>
          <w:b w:val="0"/>
          <w:bCs w:val="0"/>
          <w:kern w:val="2"/>
          <w:sz w:val="32"/>
          <w:szCs w:val="32"/>
          <w:highlight w:val="none"/>
        </w:rPr>
        <w:t>违约金）及相关税费后，持交地确认书、本合同和国有建设用地使用权出让价款缴纳凭证等相关证明材料，申请出让国有建设用地使用权登记。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_GBK" w:cs="Times New Roman"/>
          <w:b w:val="0"/>
          <w:bCs w:val="0"/>
          <w:kern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第三章  土地开发建设与利用</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0" w:firstLineChars="200"/>
        <w:rPr>
          <w:rFonts w:ascii="Times New Roman" w:hAnsi="Times New Roman" w:eastAsia="方正仿宋_GBK" w:cs="Times New Roman"/>
          <w:b w:val="0"/>
          <w:bCs w:val="0"/>
          <w:sz w:val="32"/>
          <w:highlight w:val="none"/>
          <w:u w:val="single"/>
        </w:rPr>
      </w:pPr>
      <w:r>
        <w:rPr>
          <w:rFonts w:ascii="方正楷体_GBK" w:hAnsi="Times New Roman" w:eastAsia="方正楷体_GBK" w:cs="Times New Roman"/>
          <w:b w:val="0"/>
          <w:bCs w:val="0"/>
          <w:sz w:val="32"/>
          <w:highlight w:val="none"/>
        </w:rPr>
        <w:t>第十二条</w:t>
      </w:r>
      <w:r>
        <w:rPr>
          <w:rFonts w:ascii="Times New Roman" w:hAnsi="Times New Roman" w:eastAsia="方正仿宋_GBK" w:cs="Times New Roman"/>
          <w:b w:val="0"/>
          <w:bCs w:val="0"/>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万元（小写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万元），投资强度不低于每平方米人民币大写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元（小写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元）。本合同项下宗地建设项目的固定资产总投资包括建筑物、构筑物及其附属设施、设备投资和出让价款等。</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第十三条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b w:val="0"/>
          <w:bCs w:val="0"/>
          <w:sz w:val="32"/>
          <w:highlight w:val="none"/>
        </w:rPr>
        <w:t>3</w:t>
      </w:r>
      <w:r>
        <w:rPr>
          <w:rFonts w:hint="eastAsia" w:ascii="方正仿宋_GBK" w:hAnsi="方正仿宋_GBK" w:eastAsia="方正仿宋_GBK" w:cs="方正仿宋_GBK"/>
          <w:b w:val="0"/>
          <w:bCs w:val="0"/>
          <w:sz w:val="32"/>
          <w:highlight w:val="none"/>
        </w:rPr>
        <w:t>）。其中：</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主体建筑物性质</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附属建筑物性质</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建筑总面积：</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平方米；</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建筑容积率：</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建筑密度：</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绿地率：</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建筑限高：</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其他土地利用要求按</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7"/>
        <w:spacing w:line="600" w:lineRule="exact"/>
        <w:ind w:firstLine="645"/>
        <w:jc w:val="left"/>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第十四条</w:t>
      </w:r>
      <w:r>
        <w:rPr>
          <w:rFonts w:ascii="Times New Roman" w:hAnsi="Times New Roman" w:eastAsia="方正仿宋_GBK" w:cs="Times New Roman"/>
          <w:b w:val="0"/>
          <w:bCs w:val="0"/>
          <w:sz w:val="32"/>
          <w:highlight w:val="none"/>
        </w:rPr>
        <w:t xml:space="preserve">  受让人同意本合同项下宗地用于工业项目建设，根据规划部门确定的规划设计条件，</w:t>
      </w:r>
      <w:r>
        <w:rPr>
          <w:rFonts w:ascii="Times New Roman" w:hAnsi="Times New Roman" w:eastAsia="方正仿宋_GBK" w:cs="Times New Roman"/>
          <w:b w:val="0"/>
          <w:bCs w:val="0"/>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b w:val="0"/>
          <w:bCs w:val="0"/>
          <w:sz w:val="32"/>
          <w:highlight w:val="none"/>
        </w:rPr>
        <w:t>的</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％，即不超过</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平方米</w:t>
      </w:r>
      <w:r>
        <w:rPr>
          <w:rFonts w:hint="eastAsia" w:ascii="Times New Roman" w:hAnsi="Times New Roman" w:eastAsia="方正仿宋_GBK" w:cs="Times New Roman"/>
          <w:b w:val="0"/>
          <w:bCs w:val="0"/>
          <w:sz w:val="32"/>
          <w:highlight w:val="none"/>
        </w:rPr>
        <w:t>，</w:t>
      </w:r>
      <w:r>
        <w:rPr>
          <w:rFonts w:ascii="Times New Roman" w:hAnsi="Times New Roman" w:eastAsia="方正仿宋_GBK" w:cs="Times New Roman"/>
          <w:b w:val="0"/>
          <w:bCs w:val="0"/>
          <w:sz w:val="32"/>
          <w:highlight w:val="none"/>
        </w:rPr>
        <w:t>建筑面积不超过</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_GBK" w:cs="Times New Roman"/>
          <w:b w:val="0"/>
          <w:bCs w:val="0"/>
          <w:sz w:val="32"/>
          <w:highlight w:val="none"/>
          <w:u w:val="single"/>
        </w:rPr>
      </w:pPr>
      <w:r>
        <w:rPr>
          <w:rFonts w:ascii="方正楷体_GBK" w:hAnsi="Times New Roman" w:eastAsia="方正楷体_GBK" w:cs="Times New Roman"/>
          <w:b w:val="0"/>
          <w:bCs w:val="0"/>
          <w:sz w:val="32"/>
          <w:highlight w:val="none"/>
        </w:rPr>
        <w:t xml:space="preserve">第十五条 </w:t>
      </w:r>
      <w:r>
        <w:rPr>
          <w:rFonts w:ascii="Times New Roman" w:hAnsi="Times New Roman" w:eastAsia="方正仿宋_GBK" w:cs="Times New Roman"/>
          <w:b w:val="0"/>
          <w:bCs w:val="0"/>
          <w:sz w:val="32"/>
          <w:highlight w:val="none"/>
        </w:rPr>
        <w:t xml:space="preserve"> 受让人同意本合同项下宗地建设项目在</w:t>
      </w:r>
      <w:r>
        <w:rPr>
          <w:rFonts w:ascii="Times New Roman" w:hAnsi="Times New Roman" w:eastAsia="方正仿宋_GBK" w:cs="Times New Roman"/>
          <w:b w:val="0"/>
          <w:bCs w:val="0"/>
          <w:sz w:val="32"/>
          <w:highlight w:val="none"/>
          <w:u w:val="single"/>
        </w:rPr>
        <w:t xml:space="preserve"> 　　</w:t>
      </w:r>
    </w:p>
    <w:p>
      <w:pPr>
        <w:pStyle w:val="7"/>
        <w:spacing w:line="600" w:lineRule="exact"/>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日之前开工，在</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日之前竣工。</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受让人不能按期开工，应提前30日向出让人提出延建申请，经出让人同意延建的，其项目竣工时间相应顺延。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sz w:val="32"/>
          <w:szCs w:val="32"/>
          <w:highlight w:val="none"/>
        </w:rPr>
        <w:t xml:space="preserve">   </w:t>
      </w:r>
      <w:r>
        <w:rPr>
          <w:rFonts w:ascii="方正楷体_GBK" w:hAnsi="Times New Roman" w:eastAsia="方正楷体_GBK" w:cs="Times New Roman"/>
          <w:b w:val="0"/>
          <w:bCs w:val="0"/>
          <w:kern w:val="2"/>
          <w:sz w:val="32"/>
          <w:szCs w:val="32"/>
          <w:highlight w:val="none"/>
        </w:rPr>
        <w:t xml:space="preserve"> 第十</w:t>
      </w:r>
      <w:r>
        <w:rPr>
          <w:rFonts w:hint="eastAsia" w:ascii="方正楷体_GBK" w:hAnsi="Times New Roman" w:eastAsia="方正楷体_GBK" w:cs="Times New Roman"/>
          <w:b w:val="0"/>
          <w:bCs w:val="0"/>
          <w:kern w:val="2"/>
          <w:sz w:val="32"/>
          <w:szCs w:val="32"/>
          <w:highlight w:val="none"/>
        </w:rPr>
        <w:t>六</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七</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val="0"/>
          <w:bCs w:val="0"/>
          <w:sz w:val="32"/>
          <w:highlight w:val="none"/>
          <w:u w:val="single"/>
        </w:rPr>
        <w:t>（一）</w:t>
      </w:r>
      <w:r>
        <w:rPr>
          <w:rFonts w:ascii="Times New Roman" w:hAnsi="Times New Roman" w:eastAsia="方正仿宋_GBK" w:cs="Times New Roman"/>
          <w:b w:val="0"/>
          <w:bCs w:val="0"/>
          <w:sz w:val="32"/>
          <w:highlight w:val="none"/>
        </w:rPr>
        <w:t>项规定办理：</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（一）由出让人有偿收回建设用地使用权；</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九</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ascii="Times New Roman" w:hAnsi="Times New Roman" w:eastAsia="方正仿宋_GBK" w:cs="Times New Roman"/>
          <w:b w:val="0"/>
          <w:bCs w:val="0"/>
          <w:sz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第四章  国有建设用地使用权转让、出租、抵押</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第二十条</w:t>
      </w:r>
      <w:r>
        <w:rPr>
          <w:rFonts w:hint="eastAsia" w:ascii="方正楷体_GBK" w:hAnsi="Times New Roman" w:eastAsia="方正楷体_GBK" w:cs="Times New Roman"/>
          <w:b w:val="0"/>
          <w:bCs w:val="0"/>
          <w:sz w:val="32"/>
          <w:highlight w:val="none"/>
        </w:rPr>
        <w:t xml:space="preserve"> </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b w:val="0"/>
          <w:bCs w:val="0"/>
          <w:sz w:val="32"/>
          <w:highlight w:val="none"/>
        </w:rPr>
        <w:t>按照本合同约定进行投资开发，已形成工业用地或其他建设用地条件。</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一</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国有建设用地使用权的转让、出租及抵押合同，不得违背国家法律、法规规定和本合同约定。</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国有建设用地使用权转让、抵押的，转让、抵押双方应持本合同和相应的转让、抵押合同及</w:t>
      </w:r>
      <w:r>
        <w:rPr>
          <w:rFonts w:hint="eastAsia" w:ascii="Times New Roman" w:hAnsi="Times New Roman" w:eastAsia="方正仿宋_GBK" w:cs="Times New Roman"/>
          <w:b w:val="0"/>
          <w:bCs w:val="0"/>
          <w:sz w:val="32"/>
          <w:highlight w:val="none"/>
        </w:rPr>
        <w:t>不动产权证书</w:t>
      </w:r>
      <w:r>
        <w:rPr>
          <w:rFonts w:ascii="Times New Roman" w:hAnsi="Times New Roman" w:eastAsia="方正仿宋_GBK" w:cs="Times New Roman"/>
          <w:b w:val="0"/>
          <w:bCs w:val="0"/>
          <w:sz w:val="32"/>
          <w:highlight w:val="none"/>
        </w:rPr>
        <w:t>，到</w:t>
      </w:r>
      <w:r>
        <w:rPr>
          <w:rFonts w:hint="eastAsia" w:ascii="Times New Roman" w:hAnsi="Times New Roman" w:eastAsia="方正仿宋_GBK" w:cs="Times New Roman"/>
          <w:b w:val="0"/>
          <w:bCs w:val="0"/>
          <w:sz w:val="32"/>
          <w:highlight w:val="none"/>
        </w:rPr>
        <w:t>自然</w:t>
      </w:r>
      <w:r>
        <w:rPr>
          <w:rFonts w:ascii="Times New Roman" w:hAnsi="Times New Roman" w:eastAsia="方正仿宋_GBK" w:cs="Times New Roman"/>
          <w:b w:val="0"/>
          <w:bCs w:val="0"/>
          <w:sz w:val="32"/>
          <w:highlight w:val="none"/>
        </w:rPr>
        <w:t>资源管理部门申请办理土地变更登记。</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第五章 期限届满   </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住宅建设用地使用权期限届满的，自动续期。</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出让人同意续期的，土地使用者应当依法办理出让、租赁等有偿用地手续，重新签订出让、租赁等土地有偿使用合同，支付土地出让价款、租金等土地有偿使用费。</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第二十</w:t>
      </w:r>
      <w:r>
        <w:rPr>
          <w:rFonts w:hint="eastAsia" w:ascii="方正楷体_GBK" w:hAnsi="Times New Roman" w:eastAsia="方正楷体_GBK" w:cs="Times New Roman"/>
          <w:b w:val="0"/>
          <w:bCs w:val="0"/>
          <w:kern w:val="2"/>
          <w:sz w:val="32"/>
          <w:szCs w:val="32"/>
          <w:highlight w:val="none"/>
        </w:rPr>
        <w:t>五</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val="0"/>
          <w:bCs w:val="0"/>
          <w:kern w:val="2"/>
          <w:sz w:val="32"/>
          <w:szCs w:val="32"/>
          <w:highlight w:val="none"/>
          <w:u w:val="single"/>
        </w:rPr>
        <w:t>（一）</w:t>
      </w:r>
      <w:r>
        <w:rPr>
          <w:rFonts w:hint="eastAsia" w:ascii="方正仿宋_GBK" w:hAnsi="方正仿宋_GBK" w:eastAsia="方正仿宋_GBK" w:cs="方正仿宋_GBK"/>
          <w:b w:val="0"/>
          <w:bCs w:val="0"/>
          <w:kern w:val="2"/>
          <w:sz w:val="32"/>
          <w:szCs w:val="32"/>
          <w:highlight w:val="none"/>
        </w:rPr>
        <w:t>项约定履行：</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（一）由出让人收回地上建筑物、构筑物及其附属设施，并根据收回时地上建筑物、构筑物及其附属设施的残余价值，给予土地使用者相应补偿；</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sz w:val="32"/>
          <w:szCs w:val="32"/>
          <w:highlight w:val="none"/>
        </w:rPr>
      </w:pPr>
      <w:r>
        <w:rPr>
          <w:rFonts w:hint="eastAsia" w:ascii="方正仿宋_GBK" w:hAnsi="方正仿宋_GBK" w:eastAsia="方正仿宋_GBK" w:cs="方正仿宋_GBK"/>
          <w:b w:val="0"/>
          <w:bCs w:val="0"/>
          <w:kern w:val="2"/>
          <w:sz w:val="32"/>
          <w:szCs w:val="32"/>
          <w:highlight w:val="none"/>
        </w:rPr>
        <w:t>（二）由出让人无偿收回地上建筑物、构筑物及其附属设施。</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第二十</w:t>
      </w:r>
      <w:r>
        <w:rPr>
          <w:rFonts w:hint="eastAsia" w:ascii="方正楷体_GBK" w:hAnsi="Times New Roman" w:eastAsia="方正楷体_GBK" w:cs="Times New Roman"/>
          <w:b w:val="0"/>
          <w:bCs w:val="0"/>
          <w:kern w:val="2"/>
          <w:sz w:val="32"/>
          <w:szCs w:val="32"/>
          <w:highlight w:val="none"/>
        </w:rPr>
        <w:t>六</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第六章 不可抗力</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七</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第七章 违约责任</w:t>
      </w:r>
    </w:p>
    <w:p>
      <w:pPr>
        <w:pStyle w:val="7"/>
        <w:spacing w:line="600" w:lineRule="exact"/>
        <w:jc w:val="center"/>
        <w:rPr>
          <w:rFonts w:ascii="Times New Roman" w:hAnsi="Times New Roman" w:eastAsia="方正仿宋_GBK" w:cs="Times New Roman"/>
          <w:b w:val="0"/>
          <w:bCs w:val="0"/>
          <w:sz w:val="32"/>
          <w:highlight w:val="none"/>
        </w:rPr>
      </w:pP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u w:val="single"/>
        </w:rPr>
      </w:pPr>
      <w:r>
        <w:rPr>
          <w:rFonts w:ascii="方正楷体_GBK" w:hAnsi="Times New Roman" w:eastAsia="方正楷体_GBK" w:cs="Times New Roman"/>
          <w:b w:val="0"/>
          <w:bCs w:val="0"/>
          <w:kern w:val="2"/>
          <w:sz w:val="32"/>
          <w:szCs w:val="32"/>
          <w:highlight w:val="none"/>
        </w:rPr>
        <w:t>第</w:t>
      </w:r>
      <w:r>
        <w:rPr>
          <w:rFonts w:hint="eastAsia" w:ascii="方正楷体_GBK" w:hAnsi="Times New Roman" w:eastAsia="方正楷体_GBK" w:cs="Times New Roman"/>
          <w:b w:val="0"/>
          <w:bCs w:val="0"/>
          <w:kern w:val="2"/>
          <w:sz w:val="32"/>
          <w:szCs w:val="32"/>
          <w:highlight w:val="none"/>
        </w:rPr>
        <w:t>二</w:t>
      </w:r>
      <w:r>
        <w:rPr>
          <w:rFonts w:ascii="方正楷体_GBK" w:hAnsi="Times New Roman" w:eastAsia="方正楷体_GBK" w:cs="Times New Roman"/>
          <w:b w:val="0"/>
          <w:bCs w:val="0"/>
          <w:kern w:val="2"/>
          <w:sz w:val="32"/>
          <w:szCs w:val="32"/>
          <w:highlight w:val="none"/>
        </w:rPr>
        <w:t>十</w:t>
      </w:r>
      <w:r>
        <w:rPr>
          <w:rFonts w:hint="eastAsia" w:ascii="方正楷体_GBK" w:hAnsi="Times New Roman" w:eastAsia="方正楷体_GBK" w:cs="Times New Roman"/>
          <w:b w:val="0"/>
          <w:bCs w:val="0"/>
          <w:kern w:val="2"/>
          <w:sz w:val="32"/>
          <w:szCs w:val="32"/>
          <w:highlight w:val="none"/>
        </w:rPr>
        <w:t>九</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b w:val="0"/>
          <w:bCs w:val="0"/>
          <w:spacing w:val="26"/>
          <w:kern w:val="2"/>
          <w:sz w:val="32"/>
          <w:szCs w:val="32"/>
          <w:highlight w:val="none"/>
        </w:rPr>
        <w:t>每日按迟延支付款项</w:t>
      </w:r>
      <w:r>
        <w:rPr>
          <w:rFonts w:hint="eastAsia" w:ascii="方正仿宋_GBK" w:hAnsi="方正仿宋_GBK" w:eastAsia="方正仿宋_GBK" w:cs="方正仿宋_GBK"/>
          <w:b w:val="0"/>
          <w:bCs w:val="0"/>
          <w:kern w:val="2"/>
          <w:sz w:val="32"/>
          <w:szCs w:val="32"/>
          <w:highlight w:val="none"/>
        </w:rPr>
        <w:t>的</w:t>
      </w:r>
      <w:r>
        <w:rPr>
          <w:rFonts w:hint="eastAsia" w:ascii="Times New Roman" w:hAnsi="Times New Roman" w:eastAsia="方正仿宋_GBK" w:cs="Times New Roman"/>
          <w:b w:val="0"/>
          <w:bCs w:val="0"/>
          <w:kern w:val="2"/>
          <w:sz w:val="32"/>
          <w:szCs w:val="32"/>
          <w:highlight w:val="none"/>
          <w:u w:val="single"/>
        </w:rPr>
        <w:t xml:space="preserve">1 </w:t>
      </w:r>
      <w:r>
        <w:rPr>
          <w:rFonts w:ascii="Times New Roman" w:hAnsi="Times New Roman" w:eastAsia="方正仿宋_GBK" w:cs="Times New Roman"/>
          <w:b w:val="0"/>
          <w:bCs w:val="0"/>
          <w:kern w:val="2"/>
          <w:sz w:val="32"/>
          <w:szCs w:val="32"/>
          <w:highlight w:val="none"/>
        </w:rPr>
        <w:t>‰</w:t>
      </w:r>
      <w:r>
        <w:rPr>
          <w:rFonts w:hint="eastAsia" w:ascii="方正仿宋_GBK" w:hAnsi="方正仿宋_GBK" w:eastAsia="方正仿宋_GBK" w:cs="方正仿宋_GBK"/>
          <w:b w:val="0"/>
          <w:bCs w:val="0"/>
          <w:kern w:val="2"/>
          <w:sz w:val="32"/>
          <w:szCs w:val="32"/>
          <w:highlight w:val="none"/>
        </w:rPr>
        <w:t>向出让人缴纳违约金，延期付款超过</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日，经出让人催交后仍不能支付国有建设用地使用权出让价款</w:t>
      </w:r>
      <w:r>
        <w:rPr>
          <w:rFonts w:hint="eastAsia" w:ascii="方正仿宋简体" w:hAnsi="方正仿宋简体" w:eastAsia="方正仿宋简体" w:cs="方正仿宋简体"/>
          <w:b w:val="0"/>
          <w:bCs w:val="0"/>
          <w:kern w:val="2"/>
          <w:sz w:val="32"/>
          <w:szCs w:val="32"/>
          <w:highlight w:val="none"/>
        </w:rPr>
        <w:t>（含延迟缴纳国有建设用地使用权出让价</w:t>
      </w:r>
      <w:r>
        <w:rPr>
          <w:rFonts w:hint="eastAsia" w:ascii="方正仿宋_GBK" w:hAnsi="方正仿宋_GBK" w:eastAsia="方正仿宋_GBK" w:cs="方正仿宋_GBK"/>
          <w:b w:val="0"/>
          <w:bCs w:val="0"/>
          <w:kern w:val="2"/>
          <w:sz w:val="32"/>
          <w:szCs w:val="32"/>
          <w:highlight w:val="none"/>
        </w:rPr>
        <w:t>款</w:t>
      </w:r>
      <w:r>
        <w:rPr>
          <w:rFonts w:hint="eastAsia" w:ascii="方正仿宋_GBK" w:hAnsi="方正仿宋_GBK" w:eastAsia="方正仿宋_GBK" w:cs="方正仿宋_GBK"/>
          <w:b w:val="0"/>
          <w:bCs w:val="0"/>
          <w:kern w:val="2"/>
          <w:sz w:val="32"/>
          <w:szCs w:val="32"/>
          <w:highlight w:val="none"/>
          <w:lang w:eastAsia="zh-CN"/>
        </w:rPr>
        <w:t>及</w:t>
      </w:r>
      <w:r>
        <w:rPr>
          <w:rFonts w:hint="eastAsia" w:ascii="方正仿宋_GBK" w:hAnsi="方正仿宋_GBK" w:eastAsia="方正仿宋_GBK" w:cs="方正仿宋_GBK"/>
          <w:b w:val="0"/>
          <w:bCs w:val="0"/>
          <w:kern w:val="2"/>
          <w:sz w:val="32"/>
          <w:szCs w:val="32"/>
          <w:highlight w:val="none"/>
        </w:rPr>
        <w:t>违</w:t>
      </w:r>
      <w:r>
        <w:rPr>
          <w:rFonts w:hint="eastAsia" w:ascii="方正仿宋简体" w:hAnsi="方正仿宋简体" w:eastAsia="方正仿宋简体" w:cs="方正仿宋简体"/>
          <w:b w:val="0"/>
          <w:bCs w:val="0"/>
          <w:kern w:val="2"/>
          <w:sz w:val="32"/>
          <w:szCs w:val="32"/>
          <w:highlight w:val="none"/>
        </w:rPr>
        <w:t>约金）</w:t>
      </w:r>
      <w:r>
        <w:rPr>
          <w:rFonts w:hint="eastAsia" w:ascii="方正仿宋_GBK" w:hAnsi="方正仿宋_GBK" w:eastAsia="方正仿宋_GBK" w:cs="方正仿宋_GBK"/>
          <w:b w:val="0"/>
          <w:bCs w:val="0"/>
          <w:kern w:val="2"/>
          <w:sz w:val="32"/>
          <w:szCs w:val="32"/>
          <w:highlight w:val="none"/>
        </w:rPr>
        <w:t>的，出让人有权解除合同，受让人无权要求返还定金，出让人并可请求受让人赔偿损失。</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第三十条</w:t>
      </w:r>
      <w:r>
        <w:rPr>
          <w:rFonts w:hint="eastAsia" w:ascii="方正仿宋_GBK" w:hAnsi="方正仿宋_GBK" w:eastAsia="方正仿宋_GBK" w:cs="方正仿宋_GBK"/>
          <w:b w:val="0"/>
          <w:bCs w:val="0"/>
          <w:kern w:val="2"/>
          <w:sz w:val="32"/>
          <w:szCs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3"/>
        <w:autoSpaceDE w:val="0"/>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（一）受让人在本合同约定的开工建设日期届满一年前不少于</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日向出让人提出申请的，出让人在扣除定金后退还受让人已支付的国有建设用地使用权出让价款；</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（二）受让人在本合同约定的开工建设日期超过一年但未满二年，并在届满二年前不少于</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日向出让人提出申请的，出让人应在扣除本合同约定的定金，并按照规定征收土地闲置费后，将剩余的已付国有建设用地使用权出让价款退还受让人。</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第三十</w:t>
      </w:r>
      <w:r>
        <w:rPr>
          <w:rFonts w:hint="eastAsia" w:ascii="方正楷体_GBK" w:hAnsi="Times New Roman" w:eastAsia="方正楷体_GBK" w:cs="Times New Roman"/>
          <w:b w:val="0"/>
          <w:bCs w:val="0"/>
          <w:kern w:val="2"/>
          <w:sz w:val="32"/>
          <w:szCs w:val="32"/>
          <w:highlight w:val="none"/>
        </w:rPr>
        <w:t>一</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hint="default" w:ascii="方正仿宋_GBK" w:hAnsi="方正仿宋_GBK" w:eastAsia="方正仿宋_GBK" w:cs="方正仿宋_GBK"/>
          <w:b w:val="0"/>
          <w:bCs w:val="0"/>
          <w:kern w:val="2"/>
          <w:sz w:val="32"/>
          <w:szCs w:val="32"/>
          <w:highlight w:val="none"/>
          <w:lang w:val="en-US" w:eastAsia="zh-CN" w:bidi="ar-SA"/>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kern w:val="2"/>
          <w:sz w:val="32"/>
          <w:szCs w:val="32"/>
          <w:highlight w:val="none"/>
          <w:lang w:val="en-US" w:eastAsia="zh-CN" w:bidi="ar-SA"/>
        </w:rPr>
        <w:t xml:space="preserve"> 受让人未能按照本合同约定日期或同意延建所另行约定日期开工建设的</w:t>
      </w:r>
      <w:r>
        <w:rPr>
          <w:rFonts w:hint="default" w:ascii="方正仿宋_GBK" w:hAnsi="方正仿宋_GBK" w:eastAsia="方正仿宋_GBK" w:cs="方正仿宋_GBK"/>
          <w:b w:val="0"/>
          <w:bCs w:val="0"/>
          <w:kern w:val="2"/>
          <w:sz w:val="32"/>
          <w:szCs w:val="32"/>
          <w:highlight w:val="none"/>
          <w:lang w:val="en-US" w:eastAsia="zh-CN" w:bidi="ar-SA"/>
        </w:rPr>
        <w:t>按照闲置土地管理办法相关规定办理；</w:t>
      </w:r>
    </w:p>
    <w:p>
      <w:pPr>
        <w:pStyle w:val="7"/>
        <w:spacing w:line="600" w:lineRule="exact"/>
        <w:ind w:firstLine="645"/>
        <w:rPr>
          <w:rFonts w:hint="eastAsia" w:ascii="方正仿宋_GBK" w:hAnsi="方正仿宋_GBK" w:eastAsia="方正仿宋_GBK" w:cs="方正仿宋_GBK"/>
          <w:b w:val="0"/>
          <w:bCs w:val="0"/>
          <w:kern w:val="2"/>
          <w:sz w:val="32"/>
          <w:szCs w:val="32"/>
          <w:highlight w:val="none"/>
          <w:lang w:val="en-US" w:eastAsia="zh-CN" w:bidi="ar-SA"/>
        </w:rPr>
      </w:pPr>
      <w:r>
        <w:rPr>
          <w:rFonts w:hint="eastAsia" w:ascii="方正仿宋_GBK" w:hAnsi="方正仿宋_GBK" w:eastAsia="方正仿宋_GBK" w:cs="方正仿宋_GBK"/>
          <w:b w:val="0"/>
          <w:bCs w:val="0"/>
          <w:kern w:val="2"/>
          <w:sz w:val="32"/>
          <w:szCs w:val="32"/>
          <w:highlight w:val="none"/>
          <w:lang w:val="en-US" w:eastAsia="zh-CN" w:bidi="ar-SA"/>
        </w:rPr>
        <w:t>受让人未能按照本合同约定日期或同意延建所另行约定日期竣工的</w:t>
      </w:r>
      <w:r>
        <w:rPr>
          <w:rFonts w:hint="default" w:ascii="方正仿宋_GBK" w:hAnsi="方正仿宋_GBK" w:eastAsia="方正仿宋_GBK" w:cs="方正仿宋_GBK"/>
          <w:b w:val="0"/>
          <w:bCs w:val="0"/>
          <w:kern w:val="2"/>
          <w:sz w:val="32"/>
          <w:szCs w:val="32"/>
          <w:highlight w:val="none"/>
          <w:lang w:val="en-US" w:eastAsia="zh-CN" w:bidi="ar-SA"/>
        </w:rPr>
        <w:t>按照闲置土地管理办法相关规定办理。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hint="eastAsia" w:ascii="方正楷体_GBK" w:hAnsi="Times New Roman" w:eastAsia="方正楷体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方正仿宋_GBK" w:hAnsi="方正仿宋_GBK" w:eastAsia="方正仿宋_GBK" w:cs="方正仿宋_GBK"/>
          <w:b w:val="0"/>
          <w:bCs w:val="0"/>
          <w:sz w:val="32"/>
          <w:highlight w:val="none"/>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五</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‰的违约金，并自行拆除相应的绿化和建筑设施。</w:t>
      </w:r>
    </w:p>
    <w:p>
      <w:pPr>
        <w:autoSpaceDE w:val="0"/>
        <w:spacing w:line="600" w:lineRule="exact"/>
        <w:ind w:firstLine="640" w:firstLineChars="200"/>
        <w:rPr>
          <w:rFonts w:ascii="方正仿宋_GBK" w:hAnsi="方正仿宋_GBK" w:eastAsia="方正仿宋_GBK" w:cs="方正仿宋_GBK"/>
          <w:b w:val="0"/>
          <w:bCs w:val="0"/>
          <w:sz w:val="32"/>
          <w:szCs w:val="32"/>
          <w:highlight w:val="none"/>
        </w:rPr>
      </w:pPr>
      <w:r>
        <w:rPr>
          <w:rFonts w:ascii="方正楷体_GBK" w:hAnsi="Times New Roman" w:eastAsia="方正楷体_GBK" w:cs="Times New Roman"/>
          <w:b w:val="0"/>
          <w:bCs w:val="0"/>
          <w:sz w:val="32"/>
          <w:szCs w:val="32"/>
          <w:highlight w:val="none"/>
        </w:rPr>
        <w:t>第三十</w:t>
      </w:r>
      <w:r>
        <w:rPr>
          <w:rFonts w:hint="eastAsia" w:ascii="方正楷体_GBK" w:hAnsi="Times New Roman" w:eastAsia="方正楷体_GBK" w:cs="Times New Roman"/>
          <w:b w:val="0"/>
          <w:bCs w:val="0"/>
          <w:sz w:val="32"/>
          <w:szCs w:val="32"/>
          <w:highlight w:val="none"/>
        </w:rPr>
        <w:t>六</w:t>
      </w:r>
      <w:r>
        <w:rPr>
          <w:rFonts w:ascii="方正楷体_GBK" w:hAnsi="Times New Roman" w:eastAsia="方正楷体_GBK" w:cs="Times New Roman"/>
          <w:b w:val="0"/>
          <w:bCs w:val="0"/>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sz w:val="32"/>
          <w:szCs w:val="32"/>
          <w:highlight w:val="none"/>
        </w:rPr>
        <w:t>若因受让人未按照《国有建设用地使用权出让合同》约定期限缴清全部国有建设用地使用权出让价款（含延迟缴纳国有建设用地使用权出让价</w:t>
      </w:r>
      <w:bookmarkStart w:id="1" w:name="_GoBack"/>
      <w:r>
        <w:rPr>
          <w:rFonts w:hint="eastAsia" w:ascii="方正仿宋_GBK" w:hAnsi="方正仿宋_GBK" w:eastAsia="方正仿宋_GBK" w:cs="方正仿宋_GBK"/>
          <w:b w:val="0"/>
          <w:bCs w:val="0"/>
          <w:sz w:val="32"/>
          <w:szCs w:val="32"/>
          <w:highlight w:val="none"/>
        </w:rPr>
        <w:t>款</w:t>
      </w:r>
      <w:r>
        <w:rPr>
          <w:rFonts w:hint="eastAsia" w:ascii="方正仿宋_GBK" w:hAnsi="方正仿宋_GBK" w:eastAsia="方正仿宋_GBK" w:cs="方正仿宋_GBK"/>
          <w:b w:val="0"/>
          <w:bCs w:val="0"/>
          <w:sz w:val="32"/>
          <w:szCs w:val="32"/>
          <w:highlight w:val="none"/>
          <w:lang w:eastAsia="zh-CN"/>
        </w:rPr>
        <w:t>及</w:t>
      </w:r>
      <w:r>
        <w:rPr>
          <w:rFonts w:hint="eastAsia" w:ascii="方正仿宋_GBK" w:hAnsi="方正仿宋_GBK" w:eastAsia="方正仿宋_GBK" w:cs="方正仿宋_GBK"/>
          <w:b w:val="0"/>
          <w:bCs w:val="0"/>
          <w:sz w:val="32"/>
          <w:szCs w:val="32"/>
          <w:highlight w:val="none"/>
        </w:rPr>
        <w:t>违约</w:t>
      </w:r>
      <w:bookmarkEnd w:id="1"/>
      <w:r>
        <w:rPr>
          <w:rFonts w:hint="eastAsia" w:ascii="方正仿宋_GBK" w:hAnsi="方正仿宋_GBK" w:eastAsia="方正仿宋_GBK" w:cs="方正仿宋_GBK"/>
          <w:b w:val="0"/>
          <w:bCs w:val="0"/>
          <w:sz w:val="32"/>
          <w:szCs w:val="32"/>
          <w:highlight w:val="none"/>
        </w:rPr>
        <w:t>金），或因受让人未按约定时限提出交地申请的，出让人不承担未按约定时间交地的违约责任。受让人仍需按出让合同约定的开竣工时间执行，并承担一切责任。</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第三十</w:t>
      </w:r>
      <w:r>
        <w:rPr>
          <w:rFonts w:hint="eastAsia" w:ascii="方正楷体_GBK" w:hAnsi="Times New Roman" w:eastAsia="方正楷体_GBK" w:cs="Times New Roman"/>
          <w:b w:val="0"/>
          <w:bCs w:val="0"/>
          <w:kern w:val="2"/>
          <w:sz w:val="32"/>
          <w:szCs w:val="32"/>
          <w:highlight w:val="none"/>
        </w:rPr>
        <w:t>七</w:t>
      </w:r>
      <w:r>
        <w:rPr>
          <w:rFonts w:ascii="方正楷体_GBK" w:hAnsi="Times New Roman" w:eastAsia="方正楷体_GBK" w:cs="Times New Roman"/>
          <w:b w:val="0"/>
          <w:bCs w:val="0"/>
          <w:kern w:val="2"/>
          <w:sz w:val="32"/>
          <w:szCs w:val="32"/>
          <w:highlight w:val="none"/>
        </w:rPr>
        <w:t>条</w:t>
      </w:r>
      <w:r>
        <w:rPr>
          <w:rFonts w:hint="eastAsia"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第八章 适用法律及争议解决</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本合同订立、效力、解释、履行及争议的解决，适用中华人民共和国法律。</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sz w:val="32"/>
          <w:szCs w:val="32"/>
          <w:highlight w:val="none"/>
        </w:rPr>
        <w:t xml:space="preserve">   </w:t>
      </w:r>
      <w:r>
        <w:rPr>
          <w:rFonts w:ascii="方正楷体_GBK" w:hAnsi="Times New Roman" w:eastAsia="方正楷体_GBK" w:cs="Times New Roman"/>
          <w:b w:val="0"/>
          <w:bCs w:val="0"/>
          <w:kern w:val="2"/>
          <w:sz w:val="32"/>
          <w:szCs w:val="32"/>
          <w:highlight w:val="none"/>
        </w:rPr>
        <w:t xml:space="preserve"> 第</w:t>
      </w:r>
      <w:r>
        <w:rPr>
          <w:rFonts w:hint="eastAsia" w:ascii="方正楷体_GBK" w:hAnsi="Times New Roman" w:eastAsia="方正楷体_GBK" w:cs="Times New Roman"/>
          <w:b w:val="0"/>
          <w:bCs w:val="0"/>
          <w:kern w:val="2"/>
          <w:sz w:val="32"/>
          <w:szCs w:val="32"/>
          <w:highlight w:val="none"/>
        </w:rPr>
        <w:t>三十九</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因履行本合同发生争议，由争议双方协商解决，协商不成的，按本条第</w:t>
      </w:r>
      <w:r>
        <w:rPr>
          <w:rFonts w:hint="eastAsia" w:ascii="方正楷体_GBK" w:hAnsi="方正楷体_GBK" w:eastAsia="方正楷体_GBK" w:cs="方正楷体_GBK"/>
          <w:b w:val="0"/>
          <w:bCs w:val="0"/>
          <w:kern w:val="2"/>
          <w:sz w:val="32"/>
          <w:szCs w:val="32"/>
          <w:highlight w:val="none"/>
          <w:u w:val="single"/>
        </w:rPr>
        <w:t>（二）</w:t>
      </w:r>
      <w:r>
        <w:rPr>
          <w:rFonts w:hint="eastAsia" w:ascii="方正仿宋_GBK" w:hAnsi="方正仿宋_GBK" w:eastAsia="方正仿宋_GBK" w:cs="方正仿宋_GBK"/>
          <w:b w:val="0"/>
          <w:bCs w:val="0"/>
          <w:kern w:val="2"/>
          <w:sz w:val="32"/>
          <w:szCs w:val="32"/>
          <w:highlight w:val="none"/>
        </w:rPr>
        <w:t>项约定的方式解决：</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（一）提交</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仲裁委员会仲裁；</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（二）依法向人民法院起诉。</w:t>
      </w:r>
      <w:r>
        <w:rPr>
          <w:rFonts w:ascii="Times New Roman" w:hAnsi="Times New Roman" w:eastAsia="方正仿宋_GBK" w:cs="Times New Roman"/>
          <w:b w:val="0"/>
          <w:bCs w:val="0"/>
          <w:kern w:val="2"/>
          <w:sz w:val="32"/>
          <w:szCs w:val="32"/>
          <w:highlight w:val="none"/>
        </w:rPr>
        <w:t xml:space="preserve">   </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第九章 附 则</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第四十条</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_GBK" w:cs="Times New Roman"/>
          <w:b w:val="0"/>
          <w:bCs w:val="0"/>
          <w:sz w:val="32"/>
          <w:highlight w:val="none"/>
        </w:rPr>
        <w:t xml:space="preserve"> </w:t>
      </w:r>
      <w:r>
        <w:rPr>
          <w:rFonts w:ascii="Times New Roman" w:hAnsi="Times New Roman" w:eastAsia="方正仿宋_GBK" w:cs="Times New Roman"/>
          <w:b w:val="0"/>
          <w:bCs w:val="0"/>
          <w:sz w:val="32"/>
          <w:highlight w:val="none"/>
        </w:rPr>
        <w:t>本合同项下宗地出让方案业经</w:t>
      </w:r>
      <w:r>
        <w:rPr>
          <w:rFonts w:hint="eastAsia" w:ascii="方正仿宋_GBK" w:hAnsi="方正仿宋_GBK" w:eastAsia="方正仿宋_GBK" w:cs="方正仿宋_GBK"/>
          <w:b w:val="0"/>
          <w:bCs w:val="0"/>
          <w:sz w:val="32"/>
          <w:highlight w:val="none"/>
          <w:u w:val="single"/>
        </w:rPr>
        <w:t>资阳市</w:t>
      </w:r>
      <w:r>
        <w:rPr>
          <w:rFonts w:ascii="Times New Roman" w:hAnsi="Times New Roman" w:eastAsia="方正仿宋_GBK" w:cs="Times New Roman"/>
          <w:b w:val="0"/>
          <w:bCs w:val="0"/>
          <w:sz w:val="32"/>
          <w:highlight w:val="none"/>
        </w:rPr>
        <w:t>人民政府批准，本合同自双方签订之日起生效。</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一</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w:t>
      </w:r>
      <w:r>
        <w:rPr>
          <w:rFonts w:ascii="Times New Roman" w:hAnsi="Times New Roman" w:eastAsia="方正仿宋_GBK" w:cs="Times New Roman"/>
          <w:b w:val="0"/>
          <w:bCs w:val="0"/>
          <w:kern w:val="0"/>
          <w:sz w:val="32"/>
          <w:highlight w:val="none"/>
        </w:rPr>
        <w:t>合同双方当事人均保证本合同中所填写的姓名、</w:t>
      </w:r>
      <w:r>
        <w:rPr>
          <w:rFonts w:ascii="Times New Roman" w:hAnsi="Times New Roman" w:eastAsia="方正仿宋_GBK" w:cs="Times New Roman"/>
          <w:b w:val="0"/>
          <w:bCs w:val="0"/>
          <w:sz w:val="32"/>
          <w:highlight w:val="none"/>
        </w:rPr>
        <w:t>通讯地址、电话、传真、开户银行、</w:t>
      </w:r>
      <w:r>
        <w:rPr>
          <w:rFonts w:ascii="Times New Roman" w:hAnsi="Times New Roman" w:eastAsia="方正仿宋_GBK" w:cs="Times New Roman"/>
          <w:b w:val="0"/>
          <w:bCs w:val="0"/>
          <w:kern w:val="0"/>
          <w:sz w:val="32"/>
          <w:highlight w:val="none"/>
        </w:rPr>
        <w:t>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本合同和附件共</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页整，以中文书写为准。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本合同未尽事宜，可由双方约定后作为合同附件。</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hint="eastAsia" w:ascii="方正楷体_GBK" w:hAnsi="Times New Roman" w:eastAsia="方正楷体_GBK" w:cs="Times New Roman"/>
          <w:b w:val="0"/>
          <w:bCs w:val="0"/>
          <w:sz w:val="32"/>
          <w:highlight w:val="none"/>
        </w:rPr>
        <w:t>第四十五条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本合同一式</w:t>
      </w:r>
      <w:r>
        <w:rPr>
          <w:rFonts w:hint="eastAsia" w:ascii="方正仿宋_GBK" w:hAnsi="方正仿宋_GBK" w:eastAsia="方正仿宋_GBK" w:cs="方正仿宋_GBK"/>
          <w:b w:val="0"/>
          <w:bCs w:val="0"/>
          <w:sz w:val="32"/>
          <w:highlight w:val="none"/>
          <w:u w:val="single"/>
        </w:rPr>
        <w:t>肆</w:t>
      </w:r>
      <w:r>
        <w:rPr>
          <w:rFonts w:hint="eastAsia" w:ascii="方正仿宋_GBK" w:hAnsi="方正仿宋_GBK" w:eastAsia="方正仿宋_GBK" w:cs="方正仿宋_GBK"/>
          <w:b w:val="0"/>
          <w:bCs w:val="0"/>
          <w:sz w:val="32"/>
          <w:highlight w:val="none"/>
        </w:rPr>
        <w:t>份，出让人</w:t>
      </w:r>
      <w:r>
        <w:rPr>
          <w:rFonts w:hint="eastAsia" w:ascii="方正仿宋_GBK" w:hAnsi="方正仿宋_GBK" w:eastAsia="方正仿宋_GBK" w:cs="方正仿宋_GBK"/>
          <w:b w:val="0"/>
          <w:bCs w:val="0"/>
          <w:sz w:val="32"/>
          <w:highlight w:val="none"/>
          <w:u w:val="single"/>
        </w:rPr>
        <w:t>贰</w:t>
      </w:r>
      <w:r>
        <w:rPr>
          <w:rFonts w:hint="eastAsia" w:ascii="方正仿宋_GBK" w:hAnsi="方正仿宋_GBK" w:eastAsia="方正仿宋_GBK" w:cs="方正仿宋_GBK"/>
          <w:b w:val="0"/>
          <w:bCs w:val="0"/>
          <w:sz w:val="32"/>
          <w:highlight w:val="none"/>
        </w:rPr>
        <w:t>份，受让人</w:t>
      </w:r>
      <w:r>
        <w:rPr>
          <w:rFonts w:hint="eastAsia" w:ascii="方正仿宋_GBK" w:hAnsi="方正仿宋_GBK" w:eastAsia="方正仿宋_GBK" w:cs="方正仿宋_GBK"/>
          <w:b w:val="0"/>
          <w:bCs w:val="0"/>
          <w:sz w:val="32"/>
          <w:highlight w:val="none"/>
          <w:u w:val="single"/>
        </w:rPr>
        <w:t>贰</w:t>
      </w:r>
      <w:r>
        <w:rPr>
          <w:rFonts w:hint="eastAsia" w:ascii="方正仿宋_GBK" w:hAnsi="方正仿宋_GBK" w:eastAsia="方正仿宋_GBK" w:cs="方正仿宋_GBK"/>
          <w:b w:val="0"/>
          <w:bCs w:val="0"/>
          <w:sz w:val="32"/>
          <w:highlight w:val="none"/>
        </w:rPr>
        <w:t>份，具有同等法律效力。</w:t>
      </w:r>
    </w:p>
    <w:p>
      <w:pPr>
        <w:pStyle w:val="13"/>
        <w:spacing w:before="0" w:beforeAutospacing="0" w:after="0" w:afterAutospacing="0" w:line="600" w:lineRule="exact"/>
        <w:jc w:val="center"/>
        <w:rPr>
          <w:rFonts w:ascii="方正黑体简体" w:hAnsi="方正黑体简体" w:eastAsia="方正黑体简体" w:cs="方正黑体简体"/>
          <w:b w:val="0"/>
          <w:bCs w:val="0"/>
          <w:kern w:val="2"/>
          <w:sz w:val="44"/>
          <w:szCs w:val="44"/>
          <w:highlight w:val="none"/>
        </w:rPr>
      </w:pPr>
      <w:r>
        <w:rPr>
          <w:rFonts w:hint="eastAsia" w:ascii="方正黑体简体" w:hAnsi="方正黑体简体" w:eastAsia="方正黑体简体" w:cs="方正黑体简体"/>
          <w:b w:val="0"/>
          <w:bCs w:val="0"/>
          <w:kern w:val="2"/>
          <w:sz w:val="44"/>
          <w:szCs w:val="44"/>
          <w:highlight w:val="none"/>
        </w:rPr>
        <w:t xml:space="preserve"> 补充条款 </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一、</w:t>
      </w:r>
      <w:r>
        <w:rPr>
          <w:rFonts w:ascii="Times New Roman" w:hAnsi="Times New Roman" w:eastAsia="方正仿宋_GBK" w:cs="Times New Roman"/>
          <w:b w:val="0"/>
          <w:bCs w:val="0"/>
          <w:sz w:val="32"/>
          <w:szCs w:val="32"/>
          <w:highlight w:val="none"/>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三、该地块</w:t>
      </w:r>
      <w:r>
        <w:rPr>
          <w:rFonts w:ascii="Times New Roman" w:hAnsi="Times New Roman" w:eastAsia="方正仿宋简体" w:cs="Times New Roman"/>
          <w:b w:val="0"/>
          <w:bCs w:val="0"/>
          <w:sz w:val="32"/>
          <w:szCs w:val="32"/>
          <w:highlight w:val="none"/>
        </w:rPr>
        <w:t>国有建设用地使用权出让价款只包含地表建设用地使用权出让价款，</w:t>
      </w:r>
      <w:r>
        <w:rPr>
          <w:rFonts w:hint="eastAsia" w:ascii="Times New Roman" w:hAnsi="Times New Roman" w:eastAsia="方正仿宋简体" w:cs="Times New Roman"/>
          <w:b w:val="0"/>
          <w:bCs w:val="0"/>
          <w:sz w:val="32"/>
          <w:szCs w:val="32"/>
          <w:highlight w:val="none"/>
        </w:rPr>
        <w:t>如涉及地下空间建设用地使用权，在确立地下空间使用权时，需按相关政策规定缴纳地下空间使用权价款。</w:t>
      </w:r>
    </w:p>
    <w:p>
      <w:pPr>
        <w:spacing w:line="600" w:lineRule="exact"/>
        <w:ind w:firstLine="640" w:firstLineChars="200"/>
        <w:rPr>
          <w:b w:val="0"/>
          <w:bCs w:val="0"/>
          <w:highlight w:val="none"/>
        </w:rPr>
      </w:pPr>
      <w:r>
        <w:rPr>
          <w:rFonts w:hint="eastAsia" w:ascii="Times New Roman" w:hAnsi="Times New Roman" w:eastAsia="方正仿宋简体" w:cs="Times New Roman"/>
          <w:b w:val="0"/>
          <w:bCs w:val="0"/>
          <w:sz w:val="32"/>
          <w:szCs w:val="32"/>
          <w:highlight w:val="none"/>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Times New Roman" w:hAnsi="Times New Roman" w:eastAsia="方正仿宋简体" w:cs="Times New Roman"/>
          <w:b w:val="0"/>
          <w:bCs w:val="0"/>
          <w:sz w:val="32"/>
          <w:szCs w:val="32"/>
          <w:highlight w:val="none"/>
        </w:rPr>
        <w:t>六、</w:t>
      </w:r>
      <w:r>
        <w:rPr>
          <w:rFonts w:hint="eastAsia" w:ascii="方正仿宋简体" w:hAnsi="方正仿宋简体" w:eastAsia="方正仿宋简体" w:cs="方正仿宋简体"/>
          <w:b w:val="0"/>
          <w:bCs w:val="0"/>
          <w:sz w:val="32"/>
          <w:szCs w:val="32"/>
          <w:highlight w:val="none"/>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七、国有建设用地使用权出让合同（示范文本）部分条款释义详见附件</w:t>
      </w:r>
      <w:r>
        <w:rPr>
          <w:rFonts w:ascii="Times New Roman" w:hAnsi="Times New Roman" w:eastAsia="方正仿宋简体" w:cs="Times New Roman"/>
          <w:b w:val="0"/>
          <w:bCs w:val="0"/>
          <w:sz w:val="32"/>
          <w:szCs w:val="32"/>
          <w:highlight w:val="none"/>
        </w:rPr>
        <w:t>4</w:t>
      </w:r>
      <w:r>
        <w:rPr>
          <w:rFonts w:hint="eastAsia" w:ascii="Times New Roman" w:hAnsi="Times New Roman" w:eastAsia="方正仿宋简体" w:cs="Times New Roman"/>
          <w:b w:val="0"/>
          <w:bCs w:val="0"/>
          <w:sz w:val="32"/>
          <w:szCs w:val="32"/>
          <w:highlight w:val="none"/>
        </w:rPr>
        <w:t>。</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八、受让人须设立《建设项目用地信息公示牌》（详见附件</w:t>
      </w:r>
      <w:r>
        <w:rPr>
          <w:rFonts w:ascii="Times New Roman" w:hAnsi="Times New Roman" w:eastAsia="方正仿宋简体" w:cs="Times New Roman"/>
          <w:b w:val="0"/>
          <w:bCs w:val="0"/>
          <w:sz w:val="32"/>
          <w:szCs w:val="32"/>
          <w:highlight w:val="none"/>
        </w:rPr>
        <w:t>5</w:t>
      </w:r>
      <w:r>
        <w:rPr>
          <w:rFonts w:hint="eastAsia" w:ascii="方正仿宋简体" w:hAnsi="方正仿宋简体" w:eastAsia="方正仿宋简体" w:cs="方正仿宋简体"/>
          <w:b w:val="0"/>
          <w:bCs w:val="0"/>
          <w:sz w:val="32"/>
          <w:szCs w:val="32"/>
          <w:highlight w:val="none"/>
        </w:rPr>
        <w:t>）方可申请交地。</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九</w:t>
      </w:r>
      <w:r>
        <w:rPr>
          <w:rFonts w:ascii="Times New Roman" w:hAnsi="Times New Roman" w:eastAsia="方正仿宋简体" w:cs="Times New Roman"/>
          <w:b w:val="0"/>
          <w:bCs w:val="0"/>
          <w:sz w:val="32"/>
          <w:szCs w:val="32"/>
          <w:highlight w:val="none"/>
        </w:rPr>
        <w:t>、受让人应在开、竣工30日前向</w:t>
      </w:r>
      <w:r>
        <w:rPr>
          <w:rFonts w:hint="eastAsia" w:ascii="Times New Roman" w:hAnsi="Times New Roman" w:eastAsia="方正仿宋简体" w:cs="Times New Roman"/>
          <w:b w:val="0"/>
          <w:bCs w:val="0"/>
          <w:sz w:val="32"/>
          <w:szCs w:val="32"/>
          <w:highlight w:val="none"/>
        </w:rPr>
        <w:t>资阳市临空经济区管理委员会</w:t>
      </w:r>
      <w:r>
        <w:rPr>
          <w:rFonts w:ascii="Times New Roman" w:hAnsi="Times New Roman" w:eastAsia="方正仿宋简体" w:cs="Times New Roman"/>
          <w:b w:val="0"/>
          <w:bCs w:val="0"/>
          <w:sz w:val="32"/>
          <w:szCs w:val="32"/>
          <w:highlight w:val="none"/>
        </w:rPr>
        <w:t>（由</w:t>
      </w:r>
      <w:r>
        <w:rPr>
          <w:rFonts w:hint="eastAsia" w:ascii="Times New Roman" w:hAnsi="Times New Roman" w:eastAsia="方正仿宋简体" w:cs="Times New Roman"/>
          <w:b w:val="0"/>
          <w:bCs w:val="0"/>
          <w:sz w:val="32"/>
          <w:szCs w:val="32"/>
          <w:highlight w:val="none"/>
        </w:rPr>
        <w:t>资阳市自然资源和规划局临空经济区分局</w:t>
      </w:r>
      <w:r>
        <w:rPr>
          <w:rFonts w:ascii="Times New Roman" w:hAnsi="Times New Roman" w:eastAsia="方正仿宋简体" w:cs="Times New Roman"/>
          <w:b w:val="0"/>
          <w:bCs w:val="0"/>
          <w:sz w:val="32"/>
          <w:szCs w:val="32"/>
          <w:highlight w:val="none"/>
        </w:rPr>
        <w:t>负责受理）提交《建设项目动工申报书》（详见附件6）和《建设项目竣工申报书》（详见附件7）</w:t>
      </w:r>
      <w:r>
        <w:rPr>
          <w:rFonts w:hint="eastAsia" w:ascii="方正仿宋简体" w:hAnsi="方正仿宋简体" w:eastAsia="方正仿宋简体" w:cs="方正仿宋简体"/>
          <w:b w:val="0"/>
          <w:bCs w:val="0"/>
          <w:sz w:val="32"/>
          <w:szCs w:val="32"/>
          <w:highlight w:val="none"/>
        </w:rPr>
        <w:t>。</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方正仿宋简体" w:hAnsi="方正仿宋简体" w:eastAsia="方正仿宋简体" w:cs="方正仿宋简体"/>
          <w:b w:val="0"/>
          <w:bCs w:val="0"/>
          <w:sz w:val="32"/>
          <w:szCs w:val="32"/>
          <w:highlight w:val="none"/>
        </w:rPr>
        <w:t>十、合同价款缴费方式：缴费人可通过四川省电子税务局或到资阳市临空经济区政务服务中心税务窗口缴纳。</w:t>
      </w:r>
    </w:p>
    <w:p>
      <w:pPr>
        <w:pStyle w:val="7"/>
        <w:spacing w:line="600" w:lineRule="exact"/>
        <w:ind w:left="159" w:leftChars="76" w:firstLine="483" w:firstLineChars="151"/>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出让人（章）：               受让人（章）：</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法定代表人（委托代理人）    法定代表人(委托代理人)：</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（签字）：                  （签字）：</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ind w:right="640" w:firstLine="645"/>
        <w:jc w:val="center"/>
        <w:outlineLvl w:val="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年　月　日</w:t>
      </w:r>
    </w:p>
    <w:p>
      <w:pPr>
        <w:rPr>
          <w:b w:val="0"/>
          <w:bCs w:val="0"/>
          <w:highlight w:val="none"/>
        </w:rPr>
      </w:pPr>
    </w:p>
    <w:p>
      <w:pPr>
        <w:pStyle w:val="20"/>
        <w:ind w:firstLine="0" w:firstLineChars="0"/>
        <w:rPr>
          <w:b w:val="0"/>
          <w:bCs w:val="0"/>
          <w:highlight w:val="none"/>
        </w:rPr>
      </w:pPr>
    </w:p>
    <w:p>
      <w:pPr>
        <w:rPr>
          <w:rFonts w:ascii="Times New Roman" w:hAnsi="Times New Roman" w:eastAsia="方正黑体_GBK" w:cs="Times New Roman"/>
          <w:b w:val="0"/>
          <w:bCs w:val="0"/>
          <w:sz w:val="32"/>
          <w:szCs w:val="32"/>
          <w:highlight w:val="none"/>
        </w:rPr>
      </w:pPr>
      <w:r>
        <w:rPr>
          <w:rFonts w:ascii="Times New Roman" w:hAnsi="Times New Roman" w:eastAsia="方正仿宋_GBK" w:cs="Times New Roman"/>
          <w:b w:val="0"/>
          <w:bCs w:val="0"/>
          <w:sz w:val="32"/>
          <w:szCs w:val="32"/>
          <w:highlight w:val="none"/>
        </w:rPr>
        <w:br w:type="page"/>
      </w:r>
      <w:r>
        <w:rPr>
          <w:rFonts w:ascii="Times New Roman" w:hAnsi="Times New Roman" w:eastAsia="方正黑体_GBK" w:cs="Times New Roman"/>
          <w:b w:val="0"/>
          <w:bCs w:val="0"/>
          <w:sz w:val="32"/>
          <w:szCs w:val="32"/>
          <w:highlight w:val="none"/>
        </w:rPr>
        <w:t>附件1</w:t>
      </w:r>
    </w:p>
    <w:p>
      <w:pPr>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出让宗地平面界址图</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w:t>
      </w:r>
    </w:p>
    <w:p>
      <w:pPr>
        <w:jc w:val="center"/>
        <w:rPr>
          <w:rFonts w:ascii="Times New Roman" w:hAnsi="Times New Roman" w:eastAsia="方正仿宋_GBK" w:cs="Times New Roman"/>
          <w:b w:val="0"/>
          <w:bCs w:val="0"/>
          <w:sz w:val="32"/>
          <w:szCs w:val="32"/>
          <w:highlight w:val="none"/>
        </w:rPr>
      </w:pP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北</w:t>
      </w:r>
      <w:r>
        <w:rPr>
          <w:b w:val="0"/>
          <w:bCs w:val="0"/>
          <w:highlight w:val="none"/>
        </w:rPr>
        <w:fldChar w:fldCharType="begin" w:fldLock="1"/>
      </w:r>
      <w:r>
        <w:rPr>
          <w:b w:val="0"/>
          <w:bCs w:val="0"/>
          <w:highlight w:val="none"/>
        </w:rPr>
        <w:instrText xml:space="preserve">ref  SHAPE  \* MERGEFORMAT </w:instrText>
      </w:r>
      <w:r>
        <w:rPr>
          <w:b w:val="0"/>
          <w:bCs w:val="0"/>
          <w:highlight w:val="none"/>
        </w:rPr>
        <w:fldChar w:fldCharType="separate"/>
      </w:r>
      <w:r>
        <w:rPr>
          <w:rFonts w:ascii="Times New Roman" w:hAnsi="Times New Roman" w:eastAsia="方正仿宋_GBK" w:cs="Times New Roman"/>
          <w:b w:val="0"/>
          <w:bCs w:val="0"/>
          <w:sz w:val="32"/>
          <w:szCs w:val="32"/>
          <w:highlight w:val="none"/>
        </w:rPr>
        <w:pict>
          <v:group id="组合 3" o:spid="_x0000_s2190" o:spt="203" style="position:absolute;left:0pt;margin-left:0pt;margin-top:0pt;height:390pt;width:414pt;mso-position-horizontal-relative:char;mso-position-vertical-relative:line;z-index:251674624;mso-width-relative:page;mso-height-relative:page;" coordorigin="1800,1830" coordsize="8280,2147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91"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92"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93"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94"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b w:val="0"/>
          <w:bCs w:val="0"/>
          <w:sz w:val="32"/>
          <w:szCs w:val="32"/>
          <w:highlight w:val="none"/>
        </w:rPr>
        <w:drawing>
          <wp:inline distT="0" distB="0" distL="114300" distR="114300">
            <wp:extent cx="5257800" cy="4942840"/>
            <wp:effectExtent l="0" t="0" r="8890" b="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19"/>
                    <a:srcRect t="-99454" b="99454"/>
                    <a:stretch>
                      <a:fillRect/>
                    </a:stretch>
                  </pic:blipFill>
                  <pic:spPr>
                    <a:xfrm>
                      <a:off x="0" y="0"/>
                      <a:ext cx="5257800" cy="4942840"/>
                    </a:xfrm>
                    <a:prstGeom prst="rect">
                      <a:avLst/>
                    </a:prstGeom>
                    <a:noFill/>
                    <a:ln>
                      <a:noFill/>
                    </a:ln>
                  </pic:spPr>
                </pic:pic>
              </a:graphicData>
            </a:graphic>
          </wp:inline>
        </w:drawing>
      </w:r>
      <w:r>
        <w:rPr>
          <w:rFonts w:ascii="Times New Roman" w:hAnsi="Times New Roman" w:eastAsia="方正仿宋_GBK" w:cs="Times New Roman"/>
          <w:b w:val="0"/>
          <w:bCs w:val="0"/>
          <w:sz w:val="32"/>
          <w:szCs w:val="32"/>
          <w:highlight w:val="none"/>
        </w:rPr>
        <w:fldChar w:fldCharType="end"/>
      </w:r>
    </w:p>
    <w:p>
      <w:pPr>
        <w:rPr>
          <w:rFonts w:ascii="Times New Roman" w:hAnsi="Times New Roman" w:eastAsia="方正仿宋_GBK" w:cs="Times New Roman"/>
          <w:b w:val="0"/>
          <w:bCs w:val="0"/>
          <w:sz w:val="32"/>
          <w:szCs w:val="32"/>
          <w:highlight w:val="none"/>
        </w:rPr>
      </w:pPr>
    </w:p>
    <w:p>
      <w:pPr>
        <w:jc w:val="center"/>
        <w:rPr>
          <w:rFonts w:ascii="Times New Roman" w:hAnsi="Times New Roman" w:eastAsia="方正仿宋_GBK" w:cs="Times New Roman"/>
          <w:b w:val="0"/>
          <w:bCs w:val="0"/>
          <w:sz w:val="32"/>
          <w:szCs w:val="32"/>
          <w:highlight w:val="none"/>
        </w:rPr>
      </w:pPr>
    </w:p>
    <w:p>
      <w:pPr>
        <w:pStyle w:val="20"/>
        <w:ind w:firstLine="210"/>
        <w:rPr>
          <w:b w:val="0"/>
          <w:bCs w:val="0"/>
          <w:highlight w:val="none"/>
        </w:rPr>
      </w:pP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比例尺：1：</w:t>
      </w:r>
      <w:r>
        <w:rPr>
          <w:rFonts w:ascii="Times New Roman" w:hAnsi="Times New Roman" w:eastAsia="方正仿宋_GBK" w:cs="Times New Roman"/>
          <w:b w:val="0"/>
          <w:bCs w:val="0"/>
          <w:sz w:val="32"/>
          <w:szCs w:val="32"/>
          <w:highlight w:val="none"/>
          <w:u w:val="single"/>
        </w:rPr>
        <w:t xml:space="preserve">               </w:t>
      </w:r>
    </w:p>
    <w:p>
      <w:pPr>
        <w:jc w:val="left"/>
        <w:rPr>
          <w:rFonts w:ascii="Times New Roman" w:hAnsi="Times New Roman" w:eastAsia="方正仿宋_GBK" w:cs="Times New Roman"/>
          <w:b w:val="0"/>
          <w:bCs w:val="0"/>
          <w:sz w:val="32"/>
          <w:szCs w:val="32"/>
          <w:highlight w:val="none"/>
        </w:rPr>
      </w:pPr>
    </w:p>
    <w:p>
      <w:pPr>
        <w:jc w:val="left"/>
        <w:rPr>
          <w:rFonts w:ascii="Times New Roman" w:hAnsi="Times New Roman" w:eastAsia="方正仿宋_GBK" w:cs="Times New Roman"/>
          <w:b w:val="0"/>
          <w:bCs w:val="0"/>
          <w:sz w:val="32"/>
          <w:szCs w:val="32"/>
          <w:highlight w:val="none"/>
        </w:rPr>
      </w:pPr>
    </w:p>
    <w:p>
      <w:pPr>
        <w:jc w:val="left"/>
        <w:rPr>
          <w:rFonts w:ascii="Times New Roman" w:hAnsi="Times New Roman" w:eastAsia="方正黑体_GBK" w:cs="Times New Roman"/>
          <w:b w:val="0"/>
          <w:bCs w:val="0"/>
          <w:sz w:val="32"/>
          <w:szCs w:val="32"/>
          <w:highlight w:val="none"/>
        </w:rPr>
      </w:pPr>
      <w:r>
        <w:rPr>
          <w:rFonts w:ascii="Times New Roman" w:hAnsi="Times New Roman" w:eastAsia="方正黑体_GBK" w:cs="Times New Roman"/>
          <w:b w:val="0"/>
          <w:bCs w:val="0"/>
          <w:sz w:val="32"/>
          <w:szCs w:val="32"/>
          <w:highlight w:val="none"/>
        </w:rPr>
        <w:pict>
          <v:shape id="_x0000_s2195" o:spid="_x0000_s2195" o:spt="202" type="#_x0000_t202" style="position:absolute;left:0pt;margin-left:324pt;margin-top:478.85pt;height:39pt;width:144pt;z-index:251673600;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b w:val="0"/>
          <w:bCs w:val="0"/>
          <w:sz w:val="32"/>
          <w:szCs w:val="32"/>
          <w:highlight w:val="none"/>
        </w:rPr>
        <w:pict>
          <v:shape id="_x0000_s2196" o:spid="_x0000_s2196" o:spt="202" type="#_x0000_t202" style="position:absolute;left:0pt;margin-left:-17.25pt;margin-top:265.2pt;height:179.65pt;width:45pt;z-index:251672576;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7"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b w:val="0"/>
          <w:bCs w:val="0"/>
          <w:sz w:val="32"/>
          <w:szCs w:val="32"/>
          <w:highlight w:val="none"/>
        </w:rPr>
        <w:pict>
          <v:line id="_x0000_s2197" o:spid="_x0000_s2197" o:spt="20" style="position:absolute;left:0pt;margin-left:-18.85pt;margin-top:277.05pt;height:141.75pt;width:0.05pt;z-index:251671552;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b w:val="0"/>
          <w:bCs w:val="0"/>
          <w:sz w:val="32"/>
          <w:szCs w:val="32"/>
          <w:highlight w:val="none"/>
        </w:rPr>
        <w:t>附件2</w:t>
      </w:r>
    </w:p>
    <w:p>
      <w:pPr>
        <w:jc w:val="center"/>
        <w:rPr>
          <w:rFonts w:ascii="Times New Roman" w:hAnsi="Times New Roman" w:eastAsia="方正仿宋_GBK" w:cs="Times New Roman"/>
          <w:b w:val="0"/>
          <w:bCs w:val="0"/>
          <w:sz w:val="32"/>
          <w:szCs w:val="32"/>
          <w:highlight w:val="none"/>
        </w:rPr>
      </w:pPr>
      <w:r>
        <w:rPr>
          <w:rFonts w:hint="eastAsia" w:ascii="方正小标宋_GBK" w:hAnsi="Times New Roman" w:eastAsia="方正小标宋_GBK" w:cs="Times New Roman"/>
          <w:b w:val="0"/>
          <w:bCs w:val="0"/>
          <w:sz w:val="44"/>
          <w:szCs w:val="44"/>
          <w:highlight w:val="none"/>
        </w:rPr>
        <w:t>出让宗地竖向界限</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w:t>
      </w:r>
      <w:r>
        <w:rPr>
          <w:b w:val="0"/>
          <w:bCs w:val="0"/>
          <w:highlight w:val="none"/>
        </w:rPr>
        <w:fldChar w:fldCharType="begin" w:fldLock="1"/>
      </w:r>
      <w:r>
        <w:rPr>
          <w:b w:val="0"/>
          <w:bCs w:val="0"/>
          <w:highlight w:val="none"/>
        </w:rPr>
        <w:instrText xml:space="preserve">ref  SHAPE  \* MERGEFORMAT </w:instrText>
      </w:r>
      <w:r>
        <w:rPr>
          <w:b w:val="0"/>
          <w:bCs w:val="0"/>
          <w:highlight w:val="none"/>
        </w:rPr>
        <w:fldChar w:fldCharType="separate"/>
      </w:r>
      <w:r>
        <w:rPr>
          <w:rFonts w:ascii="Times New Roman" w:hAnsi="Times New Roman" w:eastAsia="方正仿宋_GBK" w:cs="Times New Roman"/>
          <w:b w:val="0"/>
          <w:bCs w:val="0"/>
          <w:sz w:val="32"/>
          <w:szCs w:val="32"/>
          <w:highlight w:val="none"/>
        </w:rPr>
        <w:pict>
          <v:group id="组合 4" o:spid="_x0000_s2198" o:spt="203" style="position:absolute;left:0pt;margin-left:0pt;margin-top:0pt;height:483.6pt;width:450pt;mso-position-horizontal-relative:char;mso-position-vertical-relative:line;z-index:251675648;mso-width-relative:page;mso-height-relative:page;" coordorigin="1800,2142" coordsize="9000,214748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99"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200"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201"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202"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203"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204"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205"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206"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207"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208"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209"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210"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211"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212"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213"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214"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215"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216"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217"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218"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219"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220"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221"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222"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223"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224"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225"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226"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227"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228"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229"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230"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231"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b w:val="0"/>
          <w:bCs w:val="0"/>
          <w:sz w:val="32"/>
          <w:szCs w:val="32"/>
          <w:highlight w:val="none"/>
        </w:rPr>
        <w:drawing>
          <wp:inline distT="0" distB="0" distL="114300" distR="114300">
            <wp:extent cx="5715000" cy="6124575"/>
            <wp:effectExtent l="0" t="0" r="12700" b="0"/>
            <wp:docPr id="1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true"/>
                    </pic:cNvPicPr>
                  </pic:nvPicPr>
                  <pic:blipFill>
                    <a:blip r:embed="rId19"/>
                    <a:srcRect t="-99454" b="99454"/>
                    <a:stretch>
                      <a:fillRect/>
                    </a:stretch>
                  </pic:blipFill>
                  <pic:spPr>
                    <a:xfrm>
                      <a:off x="0" y="0"/>
                      <a:ext cx="5715000" cy="6124575"/>
                    </a:xfrm>
                    <a:prstGeom prst="rect">
                      <a:avLst/>
                    </a:prstGeom>
                    <a:noFill/>
                    <a:ln>
                      <a:noFill/>
                    </a:ln>
                  </pic:spPr>
                </pic:pic>
              </a:graphicData>
            </a:graphic>
          </wp:inline>
        </w:drawing>
      </w:r>
      <w:r>
        <w:rPr>
          <w:rFonts w:ascii="Times New Roman" w:hAnsi="Times New Roman" w:eastAsia="方正仿宋_GBK" w:cs="Times New Roman"/>
          <w:b w:val="0"/>
          <w:bCs w:val="0"/>
          <w:sz w:val="32"/>
          <w:szCs w:val="32"/>
          <w:highlight w:val="none"/>
        </w:rPr>
        <w:fldChar w:fldCharType="end"/>
      </w:r>
    </w:p>
    <w:p>
      <w:pPr>
        <w:jc w:val="center"/>
        <w:rPr>
          <w:rFonts w:ascii="Times New Roman" w:hAnsi="Times New Roman" w:eastAsia="方正仿宋_GBK" w:cs="Times New Roman"/>
          <w:b w:val="0"/>
          <w:bCs w:val="0"/>
          <w:sz w:val="32"/>
          <w:szCs w:val="32"/>
          <w:highlight w:val="none"/>
          <w:u w:val="single"/>
        </w:rPr>
      </w:pPr>
      <w:r>
        <w:rPr>
          <w:rFonts w:ascii="Times New Roman" w:hAnsi="Times New Roman" w:eastAsia="方正仿宋_GBK" w:cs="Times New Roman"/>
          <w:b w:val="0"/>
          <w:bCs w:val="0"/>
          <w:sz w:val="32"/>
          <w:szCs w:val="32"/>
          <w:highlight w:val="none"/>
        </w:rPr>
        <w:t>采用的高程系：</w:t>
      </w:r>
      <w:r>
        <w:rPr>
          <w:rFonts w:ascii="Times New Roman" w:hAnsi="Times New Roman" w:eastAsia="方正仿宋_GBK" w:cs="Times New Roman"/>
          <w:b w:val="0"/>
          <w:bCs w:val="0"/>
          <w:sz w:val="32"/>
          <w:szCs w:val="32"/>
          <w:highlight w:val="none"/>
          <w:u w:val="single"/>
        </w:rPr>
        <w:t xml:space="preserve">              </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比例尺：1： </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 xml:space="preserve">    </w:t>
      </w:r>
    </w:p>
    <w:p>
      <w:pPr>
        <w:rPr>
          <w:rFonts w:ascii="Times New Roman" w:hAnsi="Times New Roman" w:eastAsia="方正黑体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附件3</w:t>
      </w:r>
    </w:p>
    <w:p>
      <w:pPr>
        <w:pStyle w:val="7"/>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市(县)政府规划管理部门确定的出让宗地规划条件</w:t>
      </w:r>
    </w:p>
    <w:p>
      <w:pPr>
        <w:rPr>
          <w:rFonts w:ascii="Times New Roman" w:hAnsi="Times New Roman" w:eastAsia="方正仿宋_GBK" w:cs="Times New Roman"/>
          <w:b w:val="0"/>
          <w:bCs w:val="0"/>
          <w:sz w:val="32"/>
          <w:szCs w:val="32"/>
          <w:highlight w:val="none"/>
        </w:rPr>
      </w:pPr>
    </w:p>
    <w:p>
      <w:pPr>
        <w:jc w:val="left"/>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pStyle w:val="21"/>
        <w:ind w:firstLine="210"/>
        <w:rPr>
          <w:b w:val="0"/>
          <w:bCs w:val="0"/>
          <w:highlight w:val="none"/>
        </w:rPr>
      </w:pPr>
    </w:p>
    <w:p>
      <w:pPr>
        <w:pStyle w:val="21"/>
        <w:ind w:firstLine="210"/>
        <w:rPr>
          <w:b w:val="0"/>
          <w:bCs w:val="0"/>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附件4</w:t>
      </w:r>
    </w:p>
    <w:p>
      <w:pPr>
        <w:spacing w:line="600" w:lineRule="exact"/>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国有建设用地使用权出让合同（示范文本）</w:t>
      </w:r>
    </w:p>
    <w:p>
      <w:pPr>
        <w:spacing w:line="600" w:lineRule="exact"/>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部 分 条 款 释 义</w:t>
      </w: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一、条款原文：第</w:t>
      </w:r>
      <w:r>
        <w:rPr>
          <w:rFonts w:hint="eastAsia" w:ascii="Times New Roman" w:hAnsi="Times New Roman" w:eastAsia="方正仿宋_GBK" w:cs="Times New Roman"/>
          <w:b w:val="0"/>
          <w:bCs w:val="0"/>
          <w:sz w:val="32"/>
          <w:szCs w:val="32"/>
          <w:highlight w:val="none"/>
        </w:rPr>
        <w:t>五</w:t>
      </w:r>
      <w:r>
        <w:rPr>
          <w:rFonts w:ascii="Times New Roman" w:hAnsi="Times New Roman" w:eastAsia="方正仿宋_GBK" w:cs="Times New Roman"/>
          <w:b w:val="0"/>
          <w:bCs w:val="0"/>
          <w:sz w:val="32"/>
          <w:szCs w:val="32"/>
          <w:highlight w:val="none"/>
        </w:rPr>
        <w:t>条，本合同项下出让宗地的用途为</w:t>
      </w:r>
      <w:r>
        <w:rPr>
          <w:rFonts w:hint="eastAsia"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释义：出让宗地的用途按照</w:t>
      </w:r>
      <w:r>
        <w:rPr>
          <w:rFonts w:ascii="Times New Roman" w:hAnsi="Times New Roman" w:eastAsia="方正仿宋简体" w:cs="Times New Roman"/>
          <w:b w:val="0"/>
          <w:bCs w:val="0"/>
          <w:sz w:val="32"/>
          <w:szCs w:val="32"/>
          <w:highlight w:val="none"/>
        </w:rPr>
        <w:t>《</w:t>
      </w:r>
      <w:r>
        <w:rPr>
          <w:rFonts w:hint="eastAsia" w:ascii="Times New Roman" w:hAnsi="Times New Roman" w:eastAsia="方正仿宋简体" w:cs="Times New Roman"/>
          <w:b w:val="0"/>
          <w:bCs w:val="0"/>
          <w:sz w:val="32"/>
          <w:szCs w:val="32"/>
          <w:highlight w:val="none"/>
        </w:rPr>
        <w:t>国土空间调查、规划、用途管制用地用海分类指南（试行）</w:t>
      </w:r>
      <w:r>
        <w:rPr>
          <w:rFonts w:ascii="Times New Roman" w:hAnsi="Times New Roman" w:eastAsia="方正仿宋简体" w:cs="Times New Roman"/>
          <w:b w:val="0"/>
          <w:bCs w:val="0"/>
          <w:sz w:val="32"/>
          <w:szCs w:val="32"/>
          <w:highlight w:val="none"/>
        </w:rPr>
        <w:t>》</w:t>
      </w:r>
      <w:r>
        <w:rPr>
          <w:rFonts w:ascii="Times New Roman" w:hAnsi="Times New Roman" w:eastAsia="方正仿宋_GBK" w:cs="Times New Roman"/>
          <w:b w:val="0"/>
          <w:bCs w:val="0"/>
          <w:sz w:val="32"/>
          <w:szCs w:val="32"/>
          <w:highlight w:val="none"/>
        </w:rPr>
        <w:t>规定的土地二级类填写。</w:t>
      </w:r>
    </w:p>
    <w:p>
      <w:pPr>
        <w:numPr>
          <w:ilvl w:val="0"/>
          <w:numId w:val="3"/>
        </w:num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条款原文：第</w:t>
      </w:r>
      <w:r>
        <w:rPr>
          <w:rFonts w:hint="eastAsia" w:ascii="Times New Roman" w:hAnsi="Times New Roman" w:eastAsia="方正仿宋_GBK" w:cs="Times New Roman"/>
          <w:b w:val="0"/>
          <w:bCs w:val="0"/>
          <w:sz w:val="32"/>
          <w:szCs w:val="32"/>
          <w:highlight w:val="none"/>
        </w:rPr>
        <w:t>十</w:t>
      </w:r>
      <w:r>
        <w:rPr>
          <w:rFonts w:ascii="Times New Roman" w:hAnsi="Times New Roman" w:eastAsia="方正仿宋_GBK" w:cs="Times New Roman"/>
          <w:b w:val="0"/>
          <w:bCs w:val="0"/>
          <w:sz w:val="32"/>
          <w:szCs w:val="32"/>
          <w:highlight w:val="none"/>
        </w:rPr>
        <w:t>条，</w:t>
      </w:r>
      <w:r>
        <w:rPr>
          <w:rFonts w:ascii="Times New Roman" w:hAnsi="Times New Roman" w:eastAsia="方正仿宋_GBK"/>
          <w:b w:val="0"/>
          <w:bCs w:val="0"/>
          <w:sz w:val="32"/>
          <w:szCs w:val="32"/>
          <w:highlight w:val="none"/>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b w:val="0"/>
          <w:bCs w:val="0"/>
          <w:sz w:val="32"/>
          <w:szCs w:val="32"/>
          <w:highlight w:val="none"/>
          <w:shd w:val="clear" w:color="auto" w:fill="FFFFFF"/>
        </w:rPr>
        <w:t>全国银行间同业拆借中心公布的1年期贷款市场报价利率（LPR）</w:t>
      </w:r>
      <w:r>
        <w:rPr>
          <w:rFonts w:ascii="Times New Roman" w:hAnsi="Times New Roman" w:eastAsia="方正仿宋_GBK"/>
          <w:b w:val="0"/>
          <w:bCs w:val="0"/>
          <w:sz w:val="32"/>
          <w:szCs w:val="32"/>
          <w:highlight w:val="none"/>
        </w:rPr>
        <w:t>，向出让人支付利息。</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w:t>
      </w:r>
      <w:r>
        <w:rPr>
          <w:rFonts w:ascii="Times New Roman" w:hAnsi="Times New Roman" w:eastAsia="方正仿宋_GBK"/>
          <w:b w:val="0"/>
          <w:bCs w:val="0"/>
          <w:sz w:val="32"/>
          <w:szCs w:val="32"/>
          <w:highlight w:val="none"/>
        </w:rPr>
        <w:t>分期付款利率按照受让人支付第一期土地出让价款之日中国人民银行授权</w:t>
      </w:r>
      <w:r>
        <w:rPr>
          <w:rFonts w:ascii="Times New Roman" w:hAnsi="Times New Roman" w:eastAsia="方正仿宋_GBK"/>
          <w:b w:val="0"/>
          <w:bCs w:val="0"/>
          <w:sz w:val="32"/>
          <w:szCs w:val="32"/>
          <w:highlight w:val="none"/>
          <w:shd w:val="clear" w:color="auto" w:fill="FFFFFF"/>
        </w:rPr>
        <w:t>全国银行间同业拆借中心公布的1年期贷款市场报价利率（LPR）</w:t>
      </w:r>
      <w:r>
        <w:rPr>
          <w:rFonts w:ascii="Times New Roman" w:hAnsi="Times New Roman" w:eastAsia="方正仿宋_GBK"/>
          <w:b w:val="0"/>
          <w:bCs w:val="0"/>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b w:val="0"/>
          <w:bCs w:val="0"/>
          <w:sz w:val="32"/>
          <w:szCs w:val="32"/>
          <w:highlight w:val="none"/>
        </w:rPr>
        <w:t>）。</w:t>
      </w:r>
    </w:p>
    <w:p>
      <w:pPr>
        <w:pStyle w:val="7"/>
        <w:ind w:firstLine="640" w:firstLineChars="200"/>
        <w:rPr>
          <w:rFonts w:ascii="Times New Roman" w:hAnsi="Times New Roman" w:eastAsia="方正仿宋_GBK" w:cs="Times New Roman"/>
          <w:b w:val="0"/>
          <w:bCs w:val="0"/>
          <w:kern w:val="0"/>
          <w:sz w:val="32"/>
          <w:highlight w:val="none"/>
        </w:rPr>
      </w:pPr>
      <w:r>
        <w:rPr>
          <w:rFonts w:ascii="Times New Roman" w:hAnsi="Times New Roman" w:eastAsia="方正仿宋_GBK" w:cs="Times New Roman"/>
          <w:b w:val="0"/>
          <w:bCs w:val="0"/>
          <w:sz w:val="32"/>
          <w:highlight w:val="none"/>
        </w:rPr>
        <w:t>三、条款原文：第</w:t>
      </w:r>
      <w:r>
        <w:rPr>
          <w:rFonts w:hint="eastAsia" w:ascii="Times New Roman" w:hAnsi="Times New Roman" w:eastAsia="方正仿宋_GBK" w:cs="Times New Roman"/>
          <w:b w:val="0"/>
          <w:bCs w:val="0"/>
          <w:sz w:val="32"/>
          <w:highlight w:val="none"/>
        </w:rPr>
        <w:t>十一</w:t>
      </w:r>
      <w:r>
        <w:rPr>
          <w:rFonts w:ascii="Times New Roman" w:hAnsi="Times New Roman" w:eastAsia="方正仿宋_GBK" w:cs="Times New Roman"/>
          <w:b w:val="0"/>
          <w:bCs w:val="0"/>
          <w:sz w:val="32"/>
          <w:highlight w:val="none"/>
        </w:rPr>
        <w:t>条，受让人应在按本合同约定付清本宗地全部国有建设用地使用权出让价款</w:t>
      </w:r>
      <w:r>
        <w:rPr>
          <w:rFonts w:hint="eastAsia" w:ascii="Times New Roman" w:hAnsi="Times New Roman" w:eastAsia="方正仿宋_GBK" w:cs="Times New Roman"/>
          <w:b w:val="0"/>
          <w:bCs w:val="0"/>
          <w:sz w:val="32"/>
          <w:highlight w:val="none"/>
        </w:rPr>
        <w:t>（含延迟缴纳国有建设用地使用权出让价款违约金及分期付款利息）及相关税费</w:t>
      </w:r>
      <w:r>
        <w:rPr>
          <w:rFonts w:ascii="Times New Roman" w:hAnsi="Times New Roman" w:eastAsia="方正仿宋_GBK" w:cs="Times New Roman"/>
          <w:b w:val="0"/>
          <w:bCs w:val="0"/>
          <w:sz w:val="32"/>
          <w:highlight w:val="none"/>
        </w:rPr>
        <w:t>后，持</w:t>
      </w:r>
      <w:r>
        <w:rPr>
          <w:rFonts w:hint="eastAsia" w:ascii="Times New Roman" w:hAnsi="Times New Roman" w:eastAsia="方正仿宋_GBK" w:cs="Times New Roman"/>
          <w:b w:val="0"/>
          <w:bCs w:val="0"/>
          <w:sz w:val="32"/>
          <w:highlight w:val="none"/>
        </w:rPr>
        <w:t>交地确认书、</w:t>
      </w:r>
      <w:r>
        <w:rPr>
          <w:rFonts w:ascii="Times New Roman" w:hAnsi="Times New Roman" w:eastAsia="方正仿宋_GBK" w:cs="Times New Roman"/>
          <w:b w:val="0"/>
          <w:bCs w:val="0"/>
          <w:sz w:val="32"/>
          <w:highlight w:val="none"/>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四、条款原文：第</w:t>
      </w:r>
      <w:r>
        <w:rPr>
          <w:rFonts w:hint="eastAsia" w:ascii="Times New Roman" w:hAnsi="Times New Roman" w:eastAsia="方正仿宋_GBK" w:cs="Times New Roman"/>
          <w:b w:val="0"/>
          <w:bCs w:val="0"/>
          <w:sz w:val="32"/>
          <w:szCs w:val="32"/>
          <w:highlight w:val="none"/>
        </w:rPr>
        <w:t>十二</w:t>
      </w:r>
      <w:r>
        <w:rPr>
          <w:rFonts w:ascii="Times New Roman" w:hAnsi="Times New Roman" w:eastAsia="方正仿宋_GBK" w:cs="Times New Roman"/>
          <w:b w:val="0"/>
          <w:bCs w:val="0"/>
          <w:sz w:val="32"/>
          <w:szCs w:val="32"/>
          <w:highlight w:val="none"/>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万元（小写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万元），投资强度不低于每平方米人民币大写  　  元（小写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五、条款原文：第</w:t>
      </w:r>
      <w:r>
        <w:rPr>
          <w:rFonts w:hint="eastAsia" w:ascii="Times New Roman" w:hAnsi="Times New Roman" w:eastAsia="方正仿宋_GBK" w:cs="Times New Roman"/>
          <w:b w:val="0"/>
          <w:bCs w:val="0"/>
          <w:sz w:val="32"/>
          <w:highlight w:val="none"/>
        </w:rPr>
        <w:t>十五</w:t>
      </w:r>
      <w:r>
        <w:rPr>
          <w:rFonts w:ascii="Times New Roman" w:hAnsi="Times New Roman" w:eastAsia="方正仿宋_GBK" w:cs="Times New Roman"/>
          <w:b w:val="0"/>
          <w:bCs w:val="0"/>
          <w:sz w:val="32"/>
          <w:highlight w:val="none"/>
        </w:rPr>
        <w:t>条，受让人同意本合同项下宗地建设项目在</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日之前开工，在</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日之前竣工。</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六、条款原文：第</w:t>
      </w:r>
      <w:r>
        <w:rPr>
          <w:rFonts w:hint="eastAsia" w:ascii="Times New Roman" w:hAnsi="Times New Roman" w:eastAsia="方正仿宋_GBK" w:cs="Times New Roman"/>
          <w:b w:val="0"/>
          <w:bCs w:val="0"/>
          <w:sz w:val="32"/>
          <w:szCs w:val="32"/>
          <w:highlight w:val="none"/>
        </w:rPr>
        <w:t>三十四</w:t>
      </w:r>
      <w:r>
        <w:rPr>
          <w:rFonts w:ascii="Times New Roman" w:hAnsi="Times New Roman" w:eastAsia="方正仿宋_GBK" w:cs="Times New Roman"/>
          <w:b w:val="0"/>
          <w:bCs w:val="0"/>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黑体_GBK" w:cs="Times New Roman"/>
          <w:b w:val="0"/>
          <w:bCs w:val="0"/>
          <w:sz w:val="32"/>
          <w:szCs w:val="32"/>
          <w:highlight w:val="none"/>
        </w:rPr>
      </w:pPr>
      <w:r>
        <w:rPr>
          <w:rFonts w:ascii="Times New Roman" w:hAnsi="Times New Roman" w:eastAsia="方正仿宋_GBK" w:cs="Times New Roman"/>
          <w:b w:val="0"/>
          <w:bCs w:val="0"/>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黑体_GBK" w:cs="Times New Roman"/>
          <w:b w:val="0"/>
          <w:bCs w:val="0"/>
          <w:sz w:val="32"/>
          <w:szCs w:val="32"/>
          <w:highlight w:val="none"/>
        </w:rPr>
      </w:pPr>
    </w:p>
    <w:p>
      <w:pPr>
        <w:pStyle w:val="2"/>
        <w:rPr>
          <w:rFonts w:ascii="Times New Roman" w:hAnsi="Times New Roman" w:eastAsia="方正黑体_GBK" w:cs="Times New Roman"/>
          <w:b w:val="0"/>
          <w:bCs w:val="0"/>
          <w:sz w:val="32"/>
          <w:szCs w:val="32"/>
          <w:highlight w:val="none"/>
        </w:rPr>
      </w:pPr>
    </w:p>
    <w:p>
      <w:pPr>
        <w:rPr>
          <w:highlight w:val="none"/>
        </w:rPr>
      </w:pPr>
    </w:p>
    <w:p>
      <w:pPr>
        <w:rPr>
          <w:rFonts w:ascii="Times New Roman" w:hAnsi="Times New Roman" w:eastAsia="方正黑体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附件5</w:t>
      </w:r>
    </w:p>
    <w:p>
      <w:pPr>
        <w:jc w:val="center"/>
        <w:rPr>
          <w:rFonts w:ascii="Times New Roman" w:hAnsi="Times New Roman" w:eastAsia="方正小标宋_GBK" w:cs="Times New Roman"/>
          <w:b w:val="0"/>
          <w:bCs w:val="0"/>
          <w:kern w:val="0"/>
          <w:sz w:val="44"/>
          <w:szCs w:val="44"/>
          <w:highlight w:val="none"/>
        </w:rPr>
      </w:pPr>
      <w:r>
        <w:rPr>
          <w:rFonts w:ascii="Times New Roman" w:hAnsi="Times New Roman" w:eastAsia="方正小标宋_GBK" w:cs="Times New Roman"/>
          <w:b w:val="0"/>
          <w:bCs w:val="0"/>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spacing w:line="400" w:lineRule="exact"/>
              <w:ind w:left="113" w:right="113"/>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spacing w:line="400" w:lineRule="exact"/>
              <w:ind w:left="113" w:right="113"/>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bl>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3．公示牌由用地单位按照《出让合同》或《划拨决定书》的约定制作，不得擅自修改。公示信息中，监管机构为“</w:t>
      </w:r>
      <w:r>
        <w:rPr>
          <w:rFonts w:hint="eastAsia" w:ascii="Times New Roman" w:hAnsi="Times New Roman" w:eastAsia="方正仿宋_GBK" w:cs="Times New Roman"/>
          <w:b w:val="0"/>
          <w:bCs w:val="0"/>
          <w:kern w:val="0"/>
          <w:sz w:val="30"/>
          <w:szCs w:val="30"/>
          <w:highlight w:val="none"/>
        </w:rPr>
        <w:t>资阳市自然资源和规划局临空经济区分局</w:t>
      </w:r>
      <w:r>
        <w:rPr>
          <w:rFonts w:ascii="Times New Roman" w:hAnsi="Times New Roman" w:eastAsia="方正仿宋_GBK" w:cs="Times New Roman"/>
          <w:b w:val="0"/>
          <w:bCs w:val="0"/>
          <w:kern w:val="0"/>
          <w:sz w:val="30"/>
          <w:szCs w:val="30"/>
          <w:highlight w:val="none"/>
        </w:rPr>
        <w:t>”，举报电话为028-26</w:t>
      </w:r>
      <w:r>
        <w:rPr>
          <w:rFonts w:hint="eastAsia" w:ascii="Times New Roman" w:hAnsi="Times New Roman" w:eastAsia="方正仿宋_GBK" w:cs="Times New Roman"/>
          <w:b w:val="0"/>
          <w:bCs w:val="0"/>
          <w:kern w:val="0"/>
          <w:sz w:val="30"/>
          <w:szCs w:val="30"/>
          <w:highlight w:val="none"/>
        </w:rPr>
        <w:t>080200</w:t>
      </w:r>
      <w:r>
        <w:rPr>
          <w:rFonts w:ascii="Times New Roman" w:hAnsi="Times New Roman" w:eastAsia="方正仿宋_GBK" w:cs="Times New Roman"/>
          <w:b w:val="0"/>
          <w:bCs w:val="0"/>
          <w:kern w:val="0"/>
          <w:sz w:val="30"/>
          <w:szCs w:val="30"/>
          <w:highlight w:val="none"/>
        </w:rPr>
        <w:t>，土地坐落图按照该地块宗地图等比例放大，并标明四至。</w:t>
      </w:r>
    </w:p>
    <w:p>
      <w:pPr>
        <w:pStyle w:val="7"/>
        <w:spacing w:line="390" w:lineRule="exact"/>
        <w:ind w:firstLine="600" w:firstLineChars="200"/>
        <w:rPr>
          <w:rFonts w:ascii="Times New Roman" w:hAnsi="Times New Roman" w:eastAsia="方正黑体_GBK" w:cs="Times New Roman"/>
          <w:b w:val="0"/>
          <w:bCs w:val="0"/>
          <w:sz w:val="32"/>
          <w:highlight w:val="none"/>
        </w:rPr>
      </w:pPr>
      <w:r>
        <w:rPr>
          <w:rFonts w:ascii="Times New Roman" w:hAnsi="Times New Roman" w:eastAsia="方正仿宋_GBK" w:cs="Times New Roman"/>
          <w:b w:val="0"/>
          <w:bCs w:val="0"/>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附件6</w:t>
      </w:r>
    </w:p>
    <w:p>
      <w:pPr>
        <w:jc w:val="center"/>
        <w:rPr>
          <w:rFonts w:ascii="Times New Roman" w:hAnsi="Times New Roman" w:eastAsia="方正小标宋_GBK" w:cs="Times New Roman"/>
          <w:b w:val="0"/>
          <w:bCs w:val="0"/>
          <w:kern w:val="0"/>
          <w:sz w:val="44"/>
          <w:szCs w:val="44"/>
          <w:highlight w:val="none"/>
        </w:rPr>
      </w:pPr>
      <w:r>
        <w:rPr>
          <w:rFonts w:ascii="Times New Roman" w:hAnsi="Times New Roman" w:eastAsia="方正小标宋_GBK" w:cs="Times New Roman"/>
          <w:b w:val="0"/>
          <w:bCs w:val="0"/>
          <w:kern w:val="0"/>
          <w:sz w:val="44"/>
          <w:szCs w:val="44"/>
          <w:highlight w:val="none"/>
        </w:rPr>
        <w:t>建设项目动工申报书</w:t>
      </w:r>
    </w:p>
    <w:p>
      <w:pPr>
        <w:ind w:firstLine="2240" w:firstLineChars="700"/>
        <w:rPr>
          <w:rFonts w:ascii="Times New Roman" w:hAnsi="Times New Roman" w:eastAsia="方正仿宋_GBK" w:cs="Times New Roman"/>
          <w:b w:val="0"/>
          <w:bCs w:val="0"/>
          <w:sz w:val="32"/>
          <w:szCs w:val="32"/>
          <w:highlight w:val="none"/>
        </w:rPr>
      </w:pPr>
    </w:p>
    <w:p>
      <w:pPr>
        <w:spacing w:line="540" w:lineRule="exact"/>
        <w:rPr>
          <w:rFonts w:ascii="Times New Roman" w:hAnsi="Times New Roman" w:eastAsia="方正仿宋_GBK" w:cs="Times New Roman"/>
          <w:b w:val="0"/>
          <w:bCs w:val="0"/>
          <w:sz w:val="32"/>
          <w:szCs w:val="32"/>
          <w:highlight w:val="none"/>
        </w:rPr>
      </w:pPr>
      <w:r>
        <w:rPr>
          <w:rFonts w:hint="eastAsia" w:ascii="Times New Roman" w:hAnsi="Times New Roman" w:eastAsia="方正仿宋_GBK" w:cs="Times New Roman"/>
          <w:b w:val="0"/>
          <w:bCs w:val="0"/>
          <w:sz w:val="32"/>
          <w:szCs w:val="32"/>
          <w:highlight w:val="none"/>
        </w:rPr>
        <w:t>资阳市自然资源和规划局临空经济区分局</w:t>
      </w:r>
      <w:r>
        <w:rPr>
          <w:rFonts w:ascii="Times New Roman" w:hAnsi="Times New Roman" w:eastAsia="方正仿宋_GBK" w:cs="Times New Roman"/>
          <w:b w:val="0"/>
          <w:bCs w:val="0"/>
          <w:sz w:val="32"/>
          <w:szCs w:val="32"/>
          <w:highlight w:val="none"/>
        </w:rPr>
        <w:t>：</w:t>
      </w:r>
    </w:p>
    <w:p>
      <w:pPr>
        <w:spacing w:line="540" w:lineRule="exact"/>
        <w:ind w:firstLine="645"/>
        <w:rPr>
          <w:rFonts w:ascii="Times New Roman" w:hAnsi="Times New Roman" w:eastAsia="方正仿宋_GBK" w:cs="Times New Roman"/>
          <w:b w:val="0"/>
          <w:bCs w:val="0"/>
          <w:sz w:val="32"/>
          <w:szCs w:val="32"/>
          <w:highlight w:val="none"/>
        </w:rPr>
      </w:pPr>
      <w:r>
        <w:rPr>
          <w:rFonts w:hint="eastAsia" w:ascii="Times New Roman" w:hAnsi="Times New Roman" w:eastAsia="方正仿宋_GBK" w:cs="Times New Roman"/>
          <w:b w:val="0"/>
          <w:bCs w:val="0"/>
          <w:sz w:val="32"/>
          <w:szCs w:val="32"/>
          <w:highlight w:val="none"/>
        </w:rPr>
        <w:t>资阳市临空经济区管理委员会</w:t>
      </w:r>
      <w:r>
        <w:rPr>
          <w:rFonts w:ascii="Times New Roman" w:hAnsi="Times New Roman" w:eastAsia="方正仿宋_GBK" w:cs="Times New Roman"/>
          <w:b w:val="0"/>
          <w:bCs w:val="0"/>
          <w:sz w:val="32"/>
          <w:szCs w:val="32"/>
          <w:highlight w:val="none"/>
        </w:rPr>
        <w:t>与我方签订的国有建设用地使用权□出让合同∕□划拨决定书（□出让合同号∕□划拨决定书编号∕□电子监管号为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），宗地位置为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，面积为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平方米，约定动工日期为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，土地权利证号</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w:t>
      </w: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我方拟在上述宗地建设</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开发项目，目前已取得部分（全部）的建筑施工许可证（编号为</w:t>
      </w:r>
      <w:r>
        <w:rPr>
          <w:rFonts w:ascii="Times New Roman" w:hAnsi="Times New Roman" w:eastAsia="方正仿宋_GBK" w:cs="Times New Roman"/>
          <w:b w:val="0"/>
          <w:bCs w:val="0"/>
          <w:sz w:val="32"/>
          <w:szCs w:val="32"/>
          <w:highlight w:val="none"/>
          <w:u w:val="single"/>
        </w:rPr>
        <w:t>：                    ）</w:t>
      </w:r>
      <w:r>
        <w:rPr>
          <w:rFonts w:ascii="Times New Roman" w:hAnsi="Times New Roman" w:eastAsia="方正仿宋_GBK" w:cs="Times New Roman"/>
          <w:b w:val="0"/>
          <w:bCs w:val="0"/>
          <w:sz w:val="32"/>
          <w:szCs w:val="32"/>
          <w:highlight w:val="none"/>
        </w:rPr>
        <w:t>，并于</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年</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月</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特此申报。</w:t>
      </w:r>
    </w:p>
    <w:p>
      <w:pPr>
        <w:spacing w:line="540" w:lineRule="exact"/>
        <w:ind w:right="640"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（联系人：          联系电话:         ）</w:t>
      </w:r>
    </w:p>
    <w:p>
      <w:pPr>
        <w:spacing w:line="540" w:lineRule="exact"/>
        <w:ind w:right="640"/>
        <w:jc w:val="right"/>
        <w:rPr>
          <w:rFonts w:ascii="Times New Roman" w:hAnsi="Times New Roman" w:eastAsia="方正仿宋_GBK" w:cs="Times New Roman"/>
          <w:b w:val="0"/>
          <w:bCs w:val="0"/>
          <w:sz w:val="32"/>
          <w:szCs w:val="32"/>
          <w:highlight w:val="none"/>
        </w:rPr>
      </w:pPr>
    </w:p>
    <w:p>
      <w:pPr>
        <w:spacing w:line="540" w:lineRule="exact"/>
        <w:ind w:right="1280"/>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单位</w:t>
      </w:r>
      <w:r>
        <w:rPr>
          <w:rFonts w:ascii="Times New Roman" w:hAnsi="Times New Roman" w:eastAsia="方正仿宋_GBK" w:cs="Times New Roman"/>
          <w:b w:val="0"/>
          <w:bCs w:val="0"/>
          <w:sz w:val="30"/>
          <w:szCs w:val="30"/>
          <w:highlight w:val="none"/>
        </w:rPr>
        <w:t>（印章）</w:t>
      </w:r>
      <w:r>
        <w:rPr>
          <w:rFonts w:ascii="Times New Roman" w:hAnsi="Times New Roman" w:eastAsia="方正仿宋_GBK" w:cs="Times New Roman"/>
          <w:b w:val="0"/>
          <w:bCs w:val="0"/>
          <w:sz w:val="32"/>
          <w:szCs w:val="32"/>
          <w:highlight w:val="none"/>
        </w:rPr>
        <w:t>/个人：</w:t>
      </w:r>
    </w:p>
    <w:p>
      <w:pPr>
        <w:spacing w:line="540" w:lineRule="exact"/>
        <w:ind w:right="640" w:firstLine="5920" w:firstLineChars="1850"/>
        <w:rPr>
          <w:rFonts w:ascii="Times New Roman" w:hAnsi="Times New Roman" w:eastAsia="方正仿宋_GBK" w:cs="Times New Roman"/>
          <w:b w:val="0"/>
          <w:bCs w:val="0"/>
          <w:sz w:val="32"/>
          <w:szCs w:val="32"/>
          <w:highlight w:val="none"/>
        </w:rPr>
      </w:pPr>
    </w:p>
    <w:p>
      <w:pPr>
        <w:spacing w:line="540" w:lineRule="exact"/>
        <w:ind w:right="480" w:firstLine="645"/>
        <w:jc w:val="right"/>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年  月  日</w:t>
      </w:r>
    </w:p>
    <w:p>
      <w:pPr>
        <w:spacing w:line="560" w:lineRule="exact"/>
        <w:rPr>
          <w:rFonts w:ascii="Times New Roman" w:hAnsi="Times New Roman" w:eastAsia="方正仿宋_GBK" w:cs="Times New Roman"/>
          <w:b w:val="0"/>
          <w:bCs w:val="0"/>
          <w:sz w:val="28"/>
          <w:szCs w:val="21"/>
          <w:highlight w:val="none"/>
        </w:rPr>
      </w:pPr>
    </w:p>
    <w:p>
      <w:pPr>
        <w:spacing w:line="560" w:lineRule="exact"/>
        <w:ind w:right="32"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注：若无电子监管号，应填写合同号或划拨决定书编号；本申报书由</w:t>
      </w:r>
      <w:r>
        <w:rPr>
          <w:rFonts w:hint="eastAsia" w:ascii="Times New Roman" w:hAnsi="Times New Roman" w:eastAsia="方正仿宋_GBK" w:cs="Times New Roman"/>
          <w:b w:val="0"/>
          <w:bCs w:val="0"/>
          <w:sz w:val="32"/>
          <w:szCs w:val="32"/>
          <w:highlight w:val="none"/>
        </w:rPr>
        <w:t>资阳市自然资源和规划局临空经济区分局</w:t>
      </w:r>
      <w:r>
        <w:rPr>
          <w:rFonts w:ascii="Times New Roman" w:hAnsi="Times New Roman" w:eastAsia="方正仿宋_GBK" w:cs="Times New Roman"/>
          <w:b w:val="0"/>
          <w:bCs w:val="0"/>
          <w:sz w:val="32"/>
          <w:szCs w:val="32"/>
          <w:highlight w:val="none"/>
        </w:rPr>
        <w:t>负责受理。</w:t>
      </w:r>
    </w:p>
    <w:p>
      <w:pPr>
        <w:rPr>
          <w:rFonts w:ascii="方正黑体_GBK" w:hAnsi="Times New Roman" w:eastAsia="方正黑体_GBK" w:cs="Times New Roman"/>
          <w:b w:val="0"/>
          <w:bCs w:val="0"/>
          <w:sz w:val="32"/>
          <w:szCs w:val="32"/>
          <w:highlight w:val="none"/>
        </w:rPr>
      </w:pPr>
    </w:p>
    <w:p>
      <w:pPr>
        <w:rPr>
          <w:rFonts w:ascii="方正黑体_GBK" w:hAnsi="Times New Roman" w:eastAsia="方正黑体_GBK" w:cs="Times New Roman"/>
          <w:b w:val="0"/>
          <w:bCs w:val="0"/>
          <w:sz w:val="44"/>
          <w:szCs w:val="44"/>
          <w:highlight w:val="none"/>
        </w:rPr>
      </w:pPr>
      <w:r>
        <w:rPr>
          <w:rFonts w:hint="eastAsia" w:ascii="方正黑体_GBK" w:hAnsi="Times New Roman" w:eastAsia="方正黑体_GBK" w:cs="Times New Roman"/>
          <w:b w:val="0"/>
          <w:bCs w:val="0"/>
          <w:sz w:val="32"/>
          <w:szCs w:val="32"/>
          <w:highlight w:val="none"/>
        </w:rPr>
        <w:t>附件</w:t>
      </w:r>
      <w:r>
        <w:rPr>
          <w:rFonts w:ascii="Times New Roman" w:hAnsi="Times New Roman" w:eastAsia="方正黑体_GBK" w:cs="Times New Roman"/>
          <w:b w:val="0"/>
          <w:bCs w:val="0"/>
          <w:sz w:val="32"/>
          <w:szCs w:val="32"/>
          <w:highlight w:val="none"/>
        </w:rPr>
        <w:t>7</w:t>
      </w:r>
    </w:p>
    <w:p>
      <w:pPr>
        <w:spacing w:line="560" w:lineRule="exact"/>
        <w:jc w:val="center"/>
        <w:rPr>
          <w:rFonts w:ascii="Times New Roman" w:hAnsi="Times New Roman" w:eastAsia="方正小标宋_GBK" w:cs="Times New Roman"/>
          <w:b w:val="0"/>
          <w:bCs w:val="0"/>
          <w:sz w:val="44"/>
          <w:szCs w:val="44"/>
          <w:highlight w:val="none"/>
        </w:rPr>
      </w:pPr>
      <w:r>
        <w:rPr>
          <w:rFonts w:ascii="Times New Roman" w:hAnsi="Times New Roman" w:eastAsia="方正小标宋_GBK" w:cs="Times New Roman"/>
          <w:b w:val="0"/>
          <w:bCs w:val="0"/>
          <w:sz w:val="44"/>
          <w:szCs w:val="44"/>
          <w:highlight w:val="none"/>
        </w:rPr>
        <w:t>建设项目竣工申报书</w:t>
      </w:r>
    </w:p>
    <w:p>
      <w:pPr>
        <w:ind w:firstLine="2240" w:firstLineChars="700"/>
        <w:rPr>
          <w:rFonts w:ascii="Times New Roman" w:hAnsi="Times New Roman" w:eastAsia="方正仿宋_GBK" w:cs="Times New Roman"/>
          <w:b w:val="0"/>
          <w:bCs w:val="0"/>
          <w:sz w:val="32"/>
          <w:szCs w:val="32"/>
          <w:highlight w:val="none"/>
        </w:rPr>
      </w:pPr>
    </w:p>
    <w:p>
      <w:pPr>
        <w:spacing w:line="560" w:lineRule="exact"/>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资阳市自然资源和规划局临空经济区分局</w:t>
      </w:r>
      <w:r>
        <w:rPr>
          <w:rFonts w:ascii="Times New Roman" w:hAnsi="Times New Roman" w:eastAsia="方正仿宋简体" w:cs="Times New Roman"/>
          <w:b w:val="0"/>
          <w:bCs w:val="0"/>
          <w:sz w:val="32"/>
          <w:szCs w:val="32"/>
          <w:highlight w:val="none"/>
        </w:rPr>
        <w:t>：</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资阳市临空经济区管理委员会</w:t>
      </w:r>
      <w:r>
        <w:rPr>
          <w:rFonts w:ascii="Times New Roman" w:hAnsi="Times New Roman" w:eastAsia="方正仿宋简体" w:cs="Times New Roman"/>
          <w:b w:val="0"/>
          <w:bCs w:val="0"/>
          <w:sz w:val="32"/>
          <w:szCs w:val="32"/>
          <w:highlight w:val="none"/>
        </w:rPr>
        <w:t>与我方签订的国有建设用地使用权□出让合同∕□划拨决定书（□出让合同号∕□划拨决定书编号∕□电子监管号为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），宗地位置为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，面积为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平方米，约定竣工日期为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，土地权利证号</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我方在上述宗地建设了</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开发项目，拟于</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年</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月</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特此申报。</w:t>
      </w:r>
    </w:p>
    <w:p>
      <w:pPr>
        <w:spacing w:line="560" w:lineRule="exact"/>
        <w:ind w:right="640"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（联系人：          联系电话:           ）</w:t>
      </w:r>
    </w:p>
    <w:p>
      <w:pPr>
        <w:spacing w:line="560" w:lineRule="exact"/>
        <w:ind w:right="640"/>
        <w:jc w:val="right"/>
        <w:rPr>
          <w:rFonts w:ascii="Times New Roman" w:hAnsi="Times New Roman" w:eastAsia="方正仿宋简体" w:cs="Times New Roman"/>
          <w:b w:val="0"/>
          <w:bCs w:val="0"/>
          <w:sz w:val="32"/>
          <w:szCs w:val="32"/>
          <w:highlight w:val="none"/>
        </w:rPr>
      </w:pPr>
    </w:p>
    <w:p>
      <w:pPr>
        <w:spacing w:line="560" w:lineRule="exact"/>
        <w:ind w:right="1280"/>
        <w:jc w:val="center"/>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b w:val="0"/>
          <w:bCs w:val="0"/>
          <w:sz w:val="32"/>
          <w:szCs w:val="32"/>
          <w:highlight w:val="none"/>
        </w:rPr>
      </w:pPr>
    </w:p>
    <w:p>
      <w:pPr>
        <w:spacing w:line="560" w:lineRule="exact"/>
        <w:ind w:right="480" w:firstLine="645"/>
        <w:jc w:val="right"/>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年  月  日</w:t>
      </w:r>
    </w:p>
    <w:p>
      <w:pPr>
        <w:spacing w:line="560" w:lineRule="exact"/>
        <w:rPr>
          <w:rFonts w:ascii="Times New Roman" w:hAnsi="Times New Roman" w:eastAsia="方正仿宋简体" w:cs="Times New Roman"/>
          <w:b w:val="0"/>
          <w:bCs w:val="0"/>
          <w:sz w:val="32"/>
          <w:szCs w:val="32"/>
          <w:highlight w:val="none"/>
        </w:rPr>
      </w:pP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简体" w:cs="Times New Roman"/>
          <w:b w:val="0"/>
          <w:bCs w:val="0"/>
          <w:sz w:val="32"/>
          <w:szCs w:val="32"/>
          <w:highlight w:val="none"/>
        </w:rPr>
        <w:t>注：若无电子监管号，应填写合同号或划拨决定书编号；本申报书由</w:t>
      </w:r>
      <w:r>
        <w:rPr>
          <w:rFonts w:hint="eastAsia" w:ascii="Times New Roman" w:hAnsi="Times New Roman" w:eastAsia="方正仿宋简体" w:cs="Times New Roman"/>
          <w:b w:val="0"/>
          <w:bCs w:val="0"/>
          <w:sz w:val="32"/>
          <w:szCs w:val="32"/>
          <w:highlight w:val="none"/>
        </w:rPr>
        <w:t>资阳市自然资源和规划局临空经济区分局</w:t>
      </w:r>
      <w:r>
        <w:rPr>
          <w:rFonts w:hint="eastAsia" w:ascii="方正仿宋简体" w:hAnsi="方正仿宋简体" w:eastAsia="方正仿宋简体" w:cs="方正仿宋简体"/>
          <w:b w:val="0"/>
          <w:bCs w:val="0"/>
          <w:sz w:val="32"/>
          <w:szCs w:val="32"/>
          <w:highlight w:val="none"/>
        </w:rPr>
        <w:t>负责受理</w:t>
      </w:r>
      <w:r>
        <w:rPr>
          <w:rFonts w:ascii="Times New Roman" w:hAnsi="Times New Roman" w:eastAsia="方正仿宋_GBK" w:cs="Times New Roman"/>
          <w:b w:val="0"/>
          <w:bCs w:val="0"/>
          <w:sz w:val="32"/>
          <w:szCs w:val="32"/>
          <w:highlight w:val="none"/>
        </w:rPr>
        <w:t>。</w:t>
      </w:r>
    </w:p>
    <w:p>
      <w:pPr>
        <w:pStyle w:val="3"/>
        <w:rPr>
          <w:b w:val="0"/>
          <w:bCs w:val="0"/>
          <w:highlight w:val="none"/>
        </w:rPr>
      </w:pPr>
    </w:p>
    <w:p>
      <w:pPr>
        <w:pStyle w:val="2"/>
        <w:ind w:left="0" w:leftChars="0" w:firstLine="0" w:firstLineChars="0"/>
        <w:rPr>
          <w:highlight w:val="none"/>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76672;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F979D2CF"/>
    <w:multiLevelType w:val="singleLevel"/>
    <w:tmpl w:val="F979D2CF"/>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false"/>
  <w:bordersDoNotSurroundFooter w:val="false"/>
  <w:documentProtection w:enforcement="0"/>
  <w:defaultTabStop w:val="420"/>
  <w:drawingGridHorizontalSpacing w:val="105"/>
  <w:drawingGridVerticalSpacing w:val="319"/>
  <w:displayHorizontalDrawingGridEvery w:val="1"/>
  <w:displayVerticalDrawingGridEvery w:val="1"/>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1154CA"/>
    <w:rsid w:val="033326EE"/>
    <w:rsid w:val="038463D3"/>
    <w:rsid w:val="04D754D4"/>
    <w:rsid w:val="0569782A"/>
    <w:rsid w:val="05893243"/>
    <w:rsid w:val="062A3670"/>
    <w:rsid w:val="069C6FFA"/>
    <w:rsid w:val="06BF298E"/>
    <w:rsid w:val="07900C0F"/>
    <w:rsid w:val="086D3F47"/>
    <w:rsid w:val="088C4A94"/>
    <w:rsid w:val="088F0A35"/>
    <w:rsid w:val="08EB1D4F"/>
    <w:rsid w:val="09900F3F"/>
    <w:rsid w:val="0C2E1E1F"/>
    <w:rsid w:val="0C4D23C7"/>
    <w:rsid w:val="0C663829"/>
    <w:rsid w:val="0CC36A63"/>
    <w:rsid w:val="0CCF724A"/>
    <w:rsid w:val="0CE51D21"/>
    <w:rsid w:val="0D625445"/>
    <w:rsid w:val="0D7927FF"/>
    <w:rsid w:val="0E39613C"/>
    <w:rsid w:val="0FEC52A5"/>
    <w:rsid w:val="10595C76"/>
    <w:rsid w:val="10F26552"/>
    <w:rsid w:val="110C063C"/>
    <w:rsid w:val="11485C66"/>
    <w:rsid w:val="122C1CBB"/>
    <w:rsid w:val="124D4CCD"/>
    <w:rsid w:val="12BD5A3D"/>
    <w:rsid w:val="12F64446"/>
    <w:rsid w:val="135E2A3D"/>
    <w:rsid w:val="136B08EA"/>
    <w:rsid w:val="1431136E"/>
    <w:rsid w:val="14A12470"/>
    <w:rsid w:val="14D541F1"/>
    <w:rsid w:val="15D45341"/>
    <w:rsid w:val="165C0EA7"/>
    <w:rsid w:val="16626976"/>
    <w:rsid w:val="168017A3"/>
    <w:rsid w:val="16C7354F"/>
    <w:rsid w:val="172B0CB3"/>
    <w:rsid w:val="1735054D"/>
    <w:rsid w:val="173C0460"/>
    <w:rsid w:val="179B0B07"/>
    <w:rsid w:val="17E178EC"/>
    <w:rsid w:val="17E80D2B"/>
    <w:rsid w:val="1886361C"/>
    <w:rsid w:val="18936FA0"/>
    <w:rsid w:val="19516B0C"/>
    <w:rsid w:val="19820B2C"/>
    <w:rsid w:val="19E84010"/>
    <w:rsid w:val="19FF42D4"/>
    <w:rsid w:val="1A383DBB"/>
    <w:rsid w:val="1A42145A"/>
    <w:rsid w:val="1A495196"/>
    <w:rsid w:val="1A5B2726"/>
    <w:rsid w:val="1AD372BA"/>
    <w:rsid w:val="1B5E3BE2"/>
    <w:rsid w:val="1B7517BC"/>
    <w:rsid w:val="1BB642C5"/>
    <w:rsid w:val="1C1B5042"/>
    <w:rsid w:val="1CA63050"/>
    <w:rsid w:val="1CF3295E"/>
    <w:rsid w:val="1DA47355"/>
    <w:rsid w:val="1E62776B"/>
    <w:rsid w:val="1EB36E82"/>
    <w:rsid w:val="1ECF724E"/>
    <w:rsid w:val="1ED44063"/>
    <w:rsid w:val="1F893EEB"/>
    <w:rsid w:val="20687659"/>
    <w:rsid w:val="20CA2561"/>
    <w:rsid w:val="21CC5485"/>
    <w:rsid w:val="22E92D8A"/>
    <w:rsid w:val="23947574"/>
    <w:rsid w:val="2441261B"/>
    <w:rsid w:val="24B37025"/>
    <w:rsid w:val="24D23B91"/>
    <w:rsid w:val="250476C6"/>
    <w:rsid w:val="25B06DFF"/>
    <w:rsid w:val="261C3F2B"/>
    <w:rsid w:val="268C2687"/>
    <w:rsid w:val="26B35637"/>
    <w:rsid w:val="26DE7068"/>
    <w:rsid w:val="27605CAB"/>
    <w:rsid w:val="277E2734"/>
    <w:rsid w:val="27A7615D"/>
    <w:rsid w:val="28200E8D"/>
    <w:rsid w:val="28394BA7"/>
    <w:rsid w:val="28AC7DA4"/>
    <w:rsid w:val="28E9245E"/>
    <w:rsid w:val="29C35E28"/>
    <w:rsid w:val="2A717B23"/>
    <w:rsid w:val="2A9E54B9"/>
    <w:rsid w:val="2ABF3959"/>
    <w:rsid w:val="2B1E0542"/>
    <w:rsid w:val="2B8D56E8"/>
    <w:rsid w:val="2BF51173"/>
    <w:rsid w:val="2C164D9C"/>
    <w:rsid w:val="2C5E7DCD"/>
    <w:rsid w:val="2CA34E99"/>
    <w:rsid w:val="2D07249B"/>
    <w:rsid w:val="2D2B1A76"/>
    <w:rsid w:val="2D63143F"/>
    <w:rsid w:val="2EB56E6C"/>
    <w:rsid w:val="2F4E0533"/>
    <w:rsid w:val="2FB716FE"/>
    <w:rsid w:val="2FD615CF"/>
    <w:rsid w:val="30290B9F"/>
    <w:rsid w:val="302E4D03"/>
    <w:rsid w:val="309324EF"/>
    <w:rsid w:val="31E13856"/>
    <w:rsid w:val="31E415C0"/>
    <w:rsid w:val="32622210"/>
    <w:rsid w:val="33334C7E"/>
    <w:rsid w:val="33B3746C"/>
    <w:rsid w:val="33D16794"/>
    <w:rsid w:val="344C720B"/>
    <w:rsid w:val="34C56131"/>
    <w:rsid w:val="3591266C"/>
    <w:rsid w:val="35E536C5"/>
    <w:rsid w:val="36A37D52"/>
    <w:rsid w:val="36BB0EB2"/>
    <w:rsid w:val="36E708B7"/>
    <w:rsid w:val="372322BD"/>
    <w:rsid w:val="379D3199"/>
    <w:rsid w:val="382E3544"/>
    <w:rsid w:val="38BD6EE0"/>
    <w:rsid w:val="392B5440"/>
    <w:rsid w:val="39A03D95"/>
    <w:rsid w:val="39E567C5"/>
    <w:rsid w:val="3B030552"/>
    <w:rsid w:val="3BE56581"/>
    <w:rsid w:val="3C063CC6"/>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2005535"/>
    <w:rsid w:val="522E0327"/>
    <w:rsid w:val="524E7945"/>
    <w:rsid w:val="526249A6"/>
    <w:rsid w:val="52CA0FF4"/>
    <w:rsid w:val="541B6FAD"/>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75845CC"/>
    <w:rsid w:val="685A5784"/>
    <w:rsid w:val="68AE6D38"/>
    <w:rsid w:val="6A6904F6"/>
    <w:rsid w:val="6AA352E1"/>
    <w:rsid w:val="6BF47FB4"/>
    <w:rsid w:val="6C183068"/>
    <w:rsid w:val="6CD865C7"/>
    <w:rsid w:val="6CDB2998"/>
    <w:rsid w:val="6CF62CB0"/>
    <w:rsid w:val="6D9368E6"/>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716307"/>
    <w:rsid w:val="762D3F33"/>
    <w:rsid w:val="76EA423B"/>
    <w:rsid w:val="77FD4909"/>
    <w:rsid w:val="77FD59C7"/>
    <w:rsid w:val="78BF4A0F"/>
    <w:rsid w:val="794C0A87"/>
    <w:rsid w:val="796A7042"/>
    <w:rsid w:val="797617AC"/>
    <w:rsid w:val="79DF5CAC"/>
    <w:rsid w:val="7AA047C4"/>
    <w:rsid w:val="7B1F6AD4"/>
    <w:rsid w:val="7B555B8F"/>
    <w:rsid w:val="7BB9309C"/>
    <w:rsid w:val="7C0D2CFF"/>
    <w:rsid w:val="7D0D5AF5"/>
    <w:rsid w:val="7D427FEB"/>
    <w:rsid w:val="7D7C1735"/>
    <w:rsid w:val="7D8B5121"/>
    <w:rsid w:val="7DBB6810"/>
    <w:rsid w:val="7DF05459"/>
    <w:rsid w:val="7E0D502B"/>
    <w:rsid w:val="7E84466D"/>
    <w:rsid w:val="7EE3133D"/>
    <w:rsid w:val="7F3CB4D6"/>
    <w:rsid w:val="7F62553D"/>
    <w:rsid w:val="7F7C7668"/>
    <w:rsid w:val="7F9939D6"/>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BFCCCE"/>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Info spid="_x0000_s3075"/>
    <customShpInfo spid="_x0000_s3084" textRotate="1"/>
    <customShpInfo spid="_x0000_s3085"/>
    <customShpInfo spid="_x0000_s3086"/>
    <customShpInfo spid="_x0000_s2187"/>
    <customShpInfo spid="_x0000_s2188"/>
    <customShpInfo spid="_x0000_s2189"/>
    <customShpInfo spid="_x0000_s2191"/>
    <customShpInfo spid="_x0000_s2192"/>
    <customShpInfo spid="_x0000_s2193"/>
    <customShpInfo spid="_x0000_s2194"/>
    <customShpInfo spid="_x0000_s2190"/>
    <customShpInfo spid="_x0000_s2195"/>
    <customShpInfo spid="_x0000_s2196"/>
    <customShpInfo spid="_x0000_s2197"/>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1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18896</Words>
  <Characters>19658</Characters>
  <Lines>165</Lines>
  <Paragraphs>46</Paragraphs>
  <TotalTime>26</TotalTime>
  <ScaleCrop>false</ScaleCrop>
  <LinksUpToDate>false</LinksUpToDate>
  <CharactersWithSpaces>22508</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2022-04-09T22:07:00Z</dcterms:created>
  <dc:creator>10517</dc:creator>
  <cp:lastModifiedBy>pc1</cp:lastModifiedBy>
  <cp:lastPrinted>2022-06-16T03:04:00Z</cp:lastPrinted>
  <dcterms:modified xsi:type="dcterms:W3CDTF">2022-09-27T14:09:09Z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E8A5AB9B8EE84F9FA9FCFF3D82ADAEE9</vt:lpwstr>
  </property>
</Properties>
</file>