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AD2BCE">
      <w:pPr>
        <w:widowControl/>
        <w:jc w:val="left"/>
        <w:rPr>
          <w:rFonts w:ascii="Times New Roman" w:hAnsi="Times New Roman" w:eastAsia="宋体" w:cs="Times New Roman"/>
          <w:b/>
          <w:sz w:val="32"/>
        </w:rPr>
      </w:pPr>
      <w:bookmarkStart w:id="0" w:name="_GoBack"/>
      <w:bookmarkEnd w:id="0"/>
      <w:r>
        <w:rPr>
          <w:rFonts w:ascii="Times New Roman" w:hAnsi="Times New Roman" w:eastAsia="宋体" w:cs="Times New Roman"/>
          <w:b/>
          <w:sz w:val="32"/>
        </w:rPr>
        <w:t>《资阳市城东三大片区控制性详细规划暨城市设计修编》</w:t>
      </w:r>
    </w:p>
    <w:p w14:paraId="48F7C0A1">
      <w:pPr>
        <w:jc w:val="center"/>
        <w:rPr>
          <w:rFonts w:ascii="Times New Roman" w:hAnsi="Times New Roman" w:eastAsia="宋体" w:cs="Times New Roman"/>
          <w:b/>
          <w:sz w:val="32"/>
        </w:rPr>
      </w:pPr>
      <w:r>
        <w:rPr>
          <w:rFonts w:ascii="Times New Roman" w:hAnsi="Times New Roman" w:eastAsia="宋体" w:cs="Times New Roman"/>
          <w:b/>
          <w:sz w:val="32"/>
        </w:rPr>
        <w:t>（草案）概况及相关图纸</w:t>
      </w:r>
    </w:p>
    <w:p w14:paraId="2E7BE99D">
      <w:pPr>
        <w:pStyle w:val="11"/>
        <w:numPr>
          <w:ilvl w:val="0"/>
          <w:numId w:val="1"/>
        </w:numPr>
        <w:ind w:firstLineChars="0"/>
        <w:jc w:val="left"/>
        <w:rPr>
          <w:rFonts w:ascii="Times New Roman" w:hAnsi="Times New Roman" w:eastAsia="宋体" w:cs="Times New Roman"/>
          <w:b/>
          <w:sz w:val="32"/>
        </w:rPr>
      </w:pPr>
      <w:r>
        <w:rPr>
          <w:rFonts w:ascii="Times New Roman" w:hAnsi="Times New Roman" w:eastAsia="宋体" w:cs="Times New Roman"/>
          <w:b/>
          <w:sz w:val="32"/>
        </w:rPr>
        <w:t>规划范围</w:t>
      </w:r>
    </w:p>
    <w:p w14:paraId="064678A7">
      <w:pPr>
        <w:pStyle w:val="5"/>
        <w:shd w:val="clear" w:color="auto" w:fill="FFFFFF"/>
        <w:spacing w:before="0" w:beforeAutospacing="0" w:after="0" w:afterAutospacing="0"/>
        <w:ind w:firstLine="640"/>
        <w:jc w:val="both"/>
        <w:rPr>
          <w:rFonts w:ascii="仿宋_GB2312" w:hAnsi="Times New Roman" w:eastAsia="仿宋_GB2312" w:cs="Times New Roman"/>
          <w:color w:val="333333"/>
          <w:sz w:val="28"/>
          <w:szCs w:val="28"/>
        </w:rPr>
      </w:pPr>
      <w:r>
        <w:rPr>
          <w:rFonts w:ascii="仿宋_GB2312" w:hAnsi="Times New Roman" w:eastAsia="仿宋_GB2312" w:cs="Times New Roman"/>
          <w:color w:val="333333"/>
          <w:sz w:val="28"/>
          <w:szCs w:val="28"/>
        </w:rPr>
        <w:t>规划区为</w:t>
      </w:r>
      <w:r>
        <w:rPr>
          <w:rFonts w:hint="eastAsia" w:ascii="仿宋_GB2312" w:hAnsi="Times New Roman" w:eastAsia="仿宋_GB2312" w:cs="Times New Roman"/>
          <w:color w:val="333333"/>
          <w:sz w:val="28"/>
          <w:szCs w:val="28"/>
        </w:rPr>
        <w:t>位于资阳市中心城</w:t>
      </w:r>
      <w:r>
        <w:rPr>
          <w:rFonts w:ascii="仿宋_GB2312" w:hAnsi="Times New Roman" w:eastAsia="仿宋_GB2312" w:cs="Times New Roman"/>
          <w:color w:val="333333"/>
          <w:sz w:val="28"/>
          <w:szCs w:val="28"/>
        </w:rPr>
        <w:t>区沱江以东的城东片区，北侧、南侧、西侧临沱江，东至成资大道，总规划面积约19.95平方公里。</w:t>
      </w:r>
    </w:p>
    <w:p w14:paraId="77E4920F">
      <w:pPr>
        <w:pStyle w:val="5"/>
        <w:shd w:val="clear" w:color="auto" w:fill="FFFFFF"/>
        <w:adjustRightInd w:val="0"/>
        <w:snapToGrid w:val="0"/>
        <w:spacing w:before="0" w:beforeAutospacing="0" w:after="0" w:afterAutospacing="0"/>
        <w:jc w:val="center"/>
        <w:rPr>
          <w:rFonts w:ascii="Times New Roman" w:hAnsi="Times New Roman" w:eastAsia="方正仿宋_GBK" w:cs="Times New Roman"/>
          <w:b/>
          <w:color w:val="333333"/>
          <w:sz w:val="21"/>
          <w:szCs w:val="21"/>
        </w:rPr>
      </w:pPr>
      <w:r>
        <w:rPr>
          <w:rFonts w:ascii="Times New Roman" w:hAnsi="Times New Roman" w:eastAsia="方正仿宋_GBK" w:cs="Times New Roman"/>
          <w:b/>
          <w:color w:val="333333"/>
          <w:sz w:val="21"/>
          <w:szCs w:val="21"/>
        </w:rPr>
        <w:drawing>
          <wp:inline distT="0" distB="0" distL="114300" distR="114300">
            <wp:extent cx="4678045" cy="6610985"/>
            <wp:effectExtent l="0" t="0" r="8255" b="18415"/>
            <wp:docPr id="1" name="图片 1" descr="153884d068e8b2a8780f466ec6c2d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53884d068e8b2a8780f466ec6c2d3c"/>
                    <pic:cNvPicPr>
                      <a:picLocks noChangeAspect="1"/>
                    </pic:cNvPicPr>
                  </pic:nvPicPr>
                  <pic:blipFill>
                    <a:blip r:embed="rId6"/>
                    <a:stretch>
                      <a:fillRect/>
                    </a:stretch>
                  </pic:blipFill>
                  <pic:spPr>
                    <a:xfrm>
                      <a:off x="0" y="0"/>
                      <a:ext cx="4678045" cy="6610985"/>
                    </a:xfrm>
                    <a:prstGeom prst="rect">
                      <a:avLst/>
                    </a:prstGeom>
                  </pic:spPr>
                </pic:pic>
              </a:graphicData>
            </a:graphic>
          </wp:inline>
        </w:drawing>
      </w:r>
    </w:p>
    <w:p w14:paraId="3E87BF23">
      <w:pPr>
        <w:pStyle w:val="5"/>
        <w:shd w:val="clear" w:color="auto" w:fill="FFFFFF"/>
        <w:adjustRightInd w:val="0"/>
        <w:snapToGrid w:val="0"/>
        <w:spacing w:before="0" w:beforeAutospacing="0" w:after="0" w:afterAutospacing="0"/>
        <w:jc w:val="center"/>
        <w:rPr>
          <w:rFonts w:ascii="Times New Roman" w:hAnsi="Times New Roman" w:eastAsia="方正仿宋_GBK" w:cs="Times New Roman"/>
          <w:b/>
          <w:color w:val="333333"/>
          <w:sz w:val="21"/>
          <w:szCs w:val="21"/>
        </w:rPr>
      </w:pPr>
      <w:r>
        <w:rPr>
          <w:rFonts w:ascii="Times New Roman" w:hAnsi="Times New Roman" w:eastAsia="方正仿宋_GBK" w:cs="Times New Roman"/>
          <w:b/>
          <w:color w:val="333333"/>
          <w:sz w:val="21"/>
          <w:szCs w:val="21"/>
        </w:rPr>
        <w:t>区位关系图</w:t>
      </w:r>
    </w:p>
    <w:p w14:paraId="21F24523">
      <w:pPr>
        <w:pStyle w:val="11"/>
        <w:numPr>
          <w:ilvl w:val="0"/>
          <w:numId w:val="1"/>
        </w:numPr>
        <w:ind w:firstLineChars="0"/>
        <w:jc w:val="left"/>
        <w:rPr>
          <w:rFonts w:ascii="Times New Roman" w:hAnsi="Times New Roman" w:eastAsia="宋体" w:cs="Times New Roman"/>
          <w:b/>
          <w:sz w:val="32"/>
        </w:rPr>
      </w:pPr>
      <w:r>
        <w:rPr>
          <w:rFonts w:ascii="Times New Roman" w:hAnsi="Times New Roman" w:eastAsia="宋体" w:cs="Times New Roman"/>
          <w:b/>
          <w:sz w:val="32"/>
        </w:rPr>
        <w:t>总体定位</w:t>
      </w:r>
    </w:p>
    <w:p w14:paraId="6D1C8A37">
      <w:pPr>
        <w:pStyle w:val="5"/>
        <w:shd w:val="clear" w:color="auto" w:fill="FFFFFF"/>
        <w:spacing w:before="0" w:beforeAutospacing="0" w:after="0" w:afterAutospacing="0"/>
        <w:ind w:firstLine="640"/>
        <w:jc w:val="both"/>
        <w:rPr>
          <w:rFonts w:ascii="仿宋_GB2312" w:hAnsi="Times New Roman" w:eastAsia="仿宋_GB2312" w:cs="Times New Roman"/>
          <w:color w:val="333333"/>
          <w:sz w:val="28"/>
          <w:szCs w:val="28"/>
        </w:rPr>
      </w:pPr>
      <w:r>
        <w:rPr>
          <w:rFonts w:ascii="仿宋_GB2312" w:hAnsi="Times New Roman" w:eastAsia="仿宋_GB2312" w:cs="Times New Roman"/>
          <w:color w:val="333333"/>
          <w:sz w:val="28"/>
          <w:szCs w:val="28"/>
        </w:rPr>
        <w:t>结合城东三大片区城市发展现状，依托综合交通枢纽、产业集群、山水资源等优势，承接《资阳市国土空间规划（2021-2035年）》《资阳市雁江区国土空间总体规划（2021-2035年）》及相关专项规划对于城东片区布局及功能结构的引导，落实上位规划对城东三大片区“东优”发展战略及“滨江宜居组团”定位，以实现城市综合功能集聚、承接成都市功能疏解转移、塑造蓝绿交融的公园城市为目标，规划城东三大片区功能定位为：</w:t>
      </w:r>
      <w:r>
        <w:rPr>
          <w:rFonts w:hint="eastAsia" w:ascii="仿宋_GB2312" w:hAnsi="Times New Roman" w:eastAsia="仿宋_GB2312" w:cs="Times New Roman"/>
          <w:color w:val="333333"/>
          <w:sz w:val="28"/>
          <w:szCs w:val="28"/>
        </w:rPr>
        <w:t>集品质宜居、生态和谐、产城融合、城市旅游等功能于一体的高品质、可持续、现代化新城</w:t>
      </w:r>
      <w:r>
        <w:rPr>
          <w:rFonts w:ascii="仿宋_GB2312" w:hAnsi="Times New Roman" w:eastAsia="仿宋_GB2312" w:cs="Times New Roman"/>
          <w:color w:val="333333"/>
          <w:sz w:val="28"/>
          <w:szCs w:val="28"/>
        </w:rPr>
        <w:t>。</w:t>
      </w:r>
    </w:p>
    <w:p w14:paraId="34EA0055">
      <w:pPr>
        <w:pStyle w:val="11"/>
        <w:numPr>
          <w:ilvl w:val="0"/>
          <w:numId w:val="1"/>
        </w:numPr>
        <w:ind w:firstLineChars="0"/>
        <w:jc w:val="left"/>
        <w:rPr>
          <w:rFonts w:ascii="Times New Roman" w:hAnsi="Times New Roman" w:eastAsia="宋体" w:cs="Times New Roman"/>
          <w:b/>
          <w:sz w:val="32"/>
        </w:rPr>
      </w:pPr>
      <w:r>
        <w:rPr>
          <w:rFonts w:ascii="Times New Roman" w:hAnsi="Times New Roman" w:eastAsia="宋体" w:cs="Times New Roman"/>
          <w:b/>
          <w:sz w:val="32"/>
        </w:rPr>
        <w:t>用地规模和人口规模</w:t>
      </w:r>
    </w:p>
    <w:p w14:paraId="35C59B21">
      <w:pPr>
        <w:pStyle w:val="5"/>
        <w:shd w:val="clear" w:color="auto" w:fill="FFFFFF"/>
        <w:spacing w:before="0" w:beforeAutospacing="0" w:after="0" w:afterAutospacing="0"/>
        <w:ind w:firstLine="640"/>
        <w:jc w:val="both"/>
        <w:rPr>
          <w:rFonts w:ascii="仿宋_GB2312" w:hAnsi="Times New Roman" w:eastAsia="仿宋_GB2312" w:cs="Times New Roman"/>
          <w:color w:val="333333"/>
          <w:sz w:val="28"/>
          <w:szCs w:val="28"/>
        </w:rPr>
      </w:pPr>
      <w:r>
        <w:rPr>
          <w:rFonts w:ascii="仿宋_GB2312" w:hAnsi="Times New Roman" w:eastAsia="仿宋_GB2312" w:cs="Times New Roman"/>
          <w:color w:val="333333"/>
          <w:sz w:val="28"/>
          <w:szCs w:val="28"/>
        </w:rPr>
        <w:t>规划总建设用地面积1994.89公顷，人均建设用地面积约91.51</w:t>
      </w:r>
      <w:r>
        <w:rPr>
          <w:rFonts w:hint="eastAsia" w:ascii="Malgun Gothic" w:hAnsi="Malgun Gothic" w:eastAsia="Malgun Gothic" w:cs="Malgun Gothic"/>
          <w:color w:val="333333"/>
          <w:sz w:val="28"/>
          <w:szCs w:val="28"/>
        </w:rPr>
        <w:t>㎡</w:t>
      </w:r>
      <w:r>
        <w:rPr>
          <w:rFonts w:ascii="仿宋_GB2312" w:hAnsi="Times New Roman" w:eastAsia="仿宋_GB2312" w:cs="Times New Roman"/>
          <w:color w:val="333333"/>
          <w:sz w:val="28"/>
          <w:szCs w:val="28"/>
        </w:rPr>
        <w:t>/人。本次规划区人口规模约21.8万人。</w:t>
      </w:r>
    </w:p>
    <w:p w14:paraId="7AB3D06B">
      <w:pPr>
        <w:pStyle w:val="11"/>
        <w:numPr>
          <w:ilvl w:val="0"/>
          <w:numId w:val="1"/>
        </w:numPr>
        <w:ind w:firstLineChars="0"/>
        <w:jc w:val="left"/>
        <w:rPr>
          <w:rFonts w:ascii="Times New Roman" w:hAnsi="Times New Roman" w:eastAsia="宋体" w:cs="Times New Roman"/>
          <w:b/>
          <w:sz w:val="32"/>
        </w:rPr>
      </w:pPr>
      <w:r>
        <w:rPr>
          <w:rFonts w:ascii="Times New Roman" w:hAnsi="Times New Roman" w:eastAsia="宋体" w:cs="Times New Roman"/>
          <w:b/>
          <w:sz w:val="32"/>
        </w:rPr>
        <w:t>规划空间结构</w:t>
      </w:r>
    </w:p>
    <w:p w14:paraId="4AD225EF">
      <w:pPr>
        <w:pStyle w:val="5"/>
        <w:shd w:val="clear" w:color="auto" w:fill="FFFFFF"/>
        <w:spacing w:before="0" w:beforeAutospacing="0" w:after="0" w:afterAutospacing="0"/>
        <w:ind w:firstLine="640"/>
        <w:jc w:val="both"/>
        <w:rPr>
          <w:rFonts w:ascii="仿宋_GB2312" w:hAnsi="Times New Roman" w:eastAsia="仿宋_GB2312" w:cs="Times New Roman"/>
          <w:color w:val="333333"/>
          <w:sz w:val="28"/>
          <w:szCs w:val="28"/>
        </w:rPr>
      </w:pPr>
      <w:r>
        <w:rPr>
          <w:rFonts w:ascii="仿宋_GB2312" w:hAnsi="Times New Roman" w:eastAsia="仿宋_GB2312" w:cs="Times New Roman"/>
          <w:color w:val="333333"/>
          <w:sz w:val="28"/>
          <w:szCs w:val="28"/>
        </w:rPr>
        <w:t>规划形成“一廊、三楔、两轴、多心、三组团”的空间布局结构：</w:t>
      </w:r>
    </w:p>
    <w:p w14:paraId="5AFB00D2">
      <w:pPr>
        <w:pStyle w:val="5"/>
        <w:shd w:val="clear" w:color="auto" w:fill="FFFFFF"/>
        <w:spacing w:before="0" w:beforeAutospacing="0" w:after="0" w:afterAutospacing="0"/>
        <w:ind w:firstLine="640"/>
        <w:jc w:val="both"/>
        <w:rPr>
          <w:rFonts w:ascii="仿宋_GB2312" w:hAnsi="Times New Roman" w:eastAsia="仿宋_GB2312" w:cs="Times New Roman"/>
          <w:color w:val="333333"/>
          <w:sz w:val="28"/>
          <w:szCs w:val="28"/>
        </w:rPr>
      </w:pPr>
      <w:r>
        <w:rPr>
          <w:rFonts w:ascii="仿宋_GB2312" w:hAnsi="Times New Roman" w:eastAsia="仿宋_GB2312" w:cs="Times New Roman"/>
          <w:color w:val="333333"/>
          <w:sz w:val="28"/>
          <w:szCs w:val="28"/>
        </w:rPr>
        <w:t>“一廊”指沱江运动活力廊，沿沱江东岸构建以生态、游憩、休闲、运动为主的亲水、观景、活动岸线，融入蜀人原乡广场、高铁站前广场、宝台嘴商业中心等景观节点，打造连续的慢行、运动、游憩走廊；</w:t>
      </w:r>
    </w:p>
    <w:p w14:paraId="2733D4C1">
      <w:pPr>
        <w:pStyle w:val="5"/>
        <w:shd w:val="clear" w:color="auto" w:fill="FFFFFF"/>
        <w:spacing w:before="0" w:beforeAutospacing="0" w:after="0" w:afterAutospacing="0"/>
        <w:ind w:firstLine="640"/>
        <w:jc w:val="both"/>
        <w:rPr>
          <w:rFonts w:ascii="仿宋_GB2312" w:hAnsi="Times New Roman" w:eastAsia="仿宋_GB2312" w:cs="Times New Roman"/>
          <w:color w:val="333333"/>
          <w:sz w:val="28"/>
          <w:szCs w:val="28"/>
        </w:rPr>
      </w:pPr>
      <w:r>
        <w:rPr>
          <w:rFonts w:ascii="仿宋_GB2312" w:hAnsi="Times New Roman" w:eastAsia="仿宋_GB2312" w:cs="Times New Roman"/>
          <w:color w:val="333333"/>
          <w:sz w:val="28"/>
          <w:szCs w:val="28"/>
        </w:rPr>
        <w:t>“三楔”指以大地沟、字库山、黄泥河、白沙坝半岛及其他环城浅丘自然空间，以“尊重自然”为前提，在生态保育的基础上，结合零散的商业用地布局，塑造三条集生态、休闲游憩于一体的城市绿楔；</w:t>
      </w:r>
    </w:p>
    <w:p w14:paraId="5D94C0EC">
      <w:pPr>
        <w:pStyle w:val="5"/>
        <w:shd w:val="clear" w:color="auto" w:fill="FFFFFF"/>
        <w:spacing w:before="0" w:beforeAutospacing="0" w:after="0" w:afterAutospacing="0"/>
        <w:ind w:firstLine="640"/>
        <w:jc w:val="both"/>
        <w:rPr>
          <w:rFonts w:ascii="仿宋_GB2312" w:hAnsi="Times New Roman" w:eastAsia="仿宋_GB2312" w:cs="Times New Roman"/>
          <w:color w:val="333333"/>
          <w:sz w:val="28"/>
          <w:szCs w:val="28"/>
        </w:rPr>
      </w:pPr>
      <w:r>
        <w:rPr>
          <w:rFonts w:ascii="仿宋_GB2312" w:hAnsi="Times New Roman" w:eastAsia="仿宋_GB2312" w:cs="Times New Roman"/>
          <w:color w:val="333333"/>
          <w:sz w:val="28"/>
          <w:szCs w:val="28"/>
        </w:rPr>
        <w:t>“两轴”指蜀乡大道形象展示轴和迎宾大道协同发展轴，以蜀乡大道和迎宾大道为载体，向西对接资阳老城区和城南工业集中区，向南链接遂资眉高速，向北协同宝台镇等镇村地区；重点提升沿线的城市服务配套，形成迎宾大道+蜀乡大道十字景观轴，展示资阳城东三大片区的现代生活和产业形象；</w:t>
      </w:r>
    </w:p>
    <w:p w14:paraId="12B1657A">
      <w:pPr>
        <w:pStyle w:val="5"/>
        <w:shd w:val="clear" w:color="auto" w:fill="FFFFFF"/>
        <w:spacing w:before="0" w:beforeAutospacing="0" w:after="0" w:afterAutospacing="0"/>
        <w:ind w:firstLine="640"/>
        <w:jc w:val="both"/>
        <w:rPr>
          <w:rFonts w:ascii="仿宋_GB2312" w:hAnsi="Times New Roman" w:eastAsia="仿宋_GB2312" w:cs="Times New Roman"/>
          <w:color w:val="333333"/>
          <w:sz w:val="28"/>
          <w:szCs w:val="28"/>
        </w:rPr>
      </w:pPr>
      <w:r>
        <w:rPr>
          <w:rFonts w:ascii="仿宋_GB2312" w:hAnsi="Times New Roman" w:eastAsia="仿宋_GB2312" w:cs="Times New Roman"/>
          <w:color w:val="333333"/>
          <w:sz w:val="28"/>
          <w:szCs w:val="28"/>
        </w:rPr>
        <w:t>“多心”指资阳北站商务与枢纽核心、宝台站管理与休闲核心、宝台嘴商业与游憩核心、白沙坝产业与教育核心、大地沟生态与休闲核心、黄泥沟生态与休闲核心、白沙坝半岛生态与休闲核心；</w:t>
      </w:r>
    </w:p>
    <w:p w14:paraId="701D3294">
      <w:pPr>
        <w:pStyle w:val="5"/>
        <w:shd w:val="clear" w:color="auto" w:fill="FFFFFF"/>
        <w:spacing w:before="0" w:beforeAutospacing="0" w:after="0" w:afterAutospacing="0"/>
        <w:ind w:firstLine="640"/>
        <w:jc w:val="both"/>
        <w:rPr>
          <w:rFonts w:ascii="仿宋_GB2312" w:hAnsi="Times New Roman" w:eastAsia="仿宋_GB2312" w:cs="Times New Roman"/>
          <w:color w:val="333333"/>
          <w:sz w:val="28"/>
          <w:szCs w:val="28"/>
        </w:rPr>
      </w:pPr>
      <w:r>
        <w:rPr>
          <w:rFonts w:ascii="仿宋_GB2312" w:hAnsi="Times New Roman" w:eastAsia="仿宋_GB2312" w:cs="Times New Roman"/>
          <w:color w:val="333333"/>
          <w:sz w:val="28"/>
          <w:szCs w:val="28"/>
        </w:rPr>
        <w:t>“三组团”分别是以综合交通枢纽及商业商务为主导的高铁站城一体组团；以居住服务为主导的宝台活力人居组团；以产业及教育为主导的白沙坝文体科创组团。</w:t>
      </w:r>
    </w:p>
    <w:p w14:paraId="5620DD9C">
      <w:pPr>
        <w:pStyle w:val="5"/>
        <w:shd w:val="clear" w:color="auto" w:fill="FFFFFF"/>
        <w:spacing w:before="0" w:beforeAutospacing="0" w:after="0" w:afterAutospacing="0"/>
        <w:ind w:firstLine="640"/>
        <w:jc w:val="both"/>
        <w:rPr>
          <w:rFonts w:ascii="Times New Roman" w:hAnsi="Times New Roman" w:eastAsia="方正仿宋_GBK" w:cs="Times New Roman"/>
          <w:color w:val="333333"/>
          <w:sz w:val="28"/>
          <w:szCs w:val="28"/>
        </w:rPr>
      </w:pPr>
    </w:p>
    <w:p w14:paraId="50C5C74D">
      <w:pPr>
        <w:pStyle w:val="5"/>
        <w:shd w:val="clear" w:color="auto" w:fill="FFFFFF"/>
        <w:adjustRightInd w:val="0"/>
        <w:snapToGrid w:val="0"/>
        <w:spacing w:before="0" w:beforeAutospacing="0" w:after="0" w:afterAutospacing="0"/>
        <w:jc w:val="center"/>
        <w:rPr>
          <w:rFonts w:ascii="Times New Roman" w:hAnsi="Times New Roman" w:eastAsia="方正仿宋_GBK" w:cs="Times New Roman"/>
          <w:b/>
          <w:color w:val="333333"/>
          <w:sz w:val="21"/>
          <w:szCs w:val="21"/>
        </w:rPr>
      </w:pPr>
      <w:r>
        <w:rPr>
          <w:rFonts w:ascii="Times New Roman" w:hAnsi="Times New Roman" w:eastAsia="方正仿宋_GBK" w:cs="Times New Roman"/>
          <w:b/>
          <w:color w:val="333333"/>
          <w:sz w:val="21"/>
          <w:szCs w:val="21"/>
        </w:rPr>
        <w:drawing>
          <wp:inline distT="0" distB="0" distL="0" distR="0">
            <wp:extent cx="5875655" cy="8307070"/>
            <wp:effectExtent l="0" t="0" r="0" b="0"/>
            <wp:docPr id="2" name="图片 2" descr="C:\Users\win10\Documents\Tencent Files\928126357\FileRecv\08功能结构规划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win10\Documents\Tencent Files\928126357\FileRecv\08功能结构规划图.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880915" cy="8314422"/>
                    </a:xfrm>
                    <a:prstGeom prst="rect">
                      <a:avLst/>
                    </a:prstGeom>
                    <a:noFill/>
                    <a:ln>
                      <a:noFill/>
                    </a:ln>
                  </pic:spPr>
                </pic:pic>
              </a:graphicData>
            </a:graphic>
          </wp:inline>
        </w:drawing>
      </w:r>
    </w:p>
    <w:p w14:paraId="709B7407">
      <w:pPr>
        <w:pStyle w:val="5"/>
        <w:shd w:val="clear" w:color="auto" w:fill="FFFFFF"/>
        <w:adjustRightInd w:val="0"/>
        <w:snapToGrid w:val="0"/>
        <w:spacing w:before="0" w:beforeAutospacing="0" w:after="0" w:afterAutospacing="0"/>
        <w:jc w:val="center"/>
        <w:rPr>
          <w:rFonts w:ascii="Times New Roman" w:hAnsi="Times New Roman" w:eastAsia="方正仿宋_GBK" w:cs="Times New Roman"/>
          <w:b/>
          <w:color w:val="333333"/>
          <w:sz w:val="21"/>
          <w:szCs w:val="21"/>
        </w:rPr>
      </w:pPr>
      <w:r>
        <w:rPr>
          <w:rFonts w:ascii="Times New Roman" w:hAnsi="Times New Roman" w:eastAsia="方正仿宋_GBK" w:cs="Times New Roman"/>
          <w:b/>
          <w:color w:val="333333"/>
          <w:sz w:val="21"/>
          <w:szCs w:val="21"/>
        </w:rPr>
        <w:t>功能结构规划图</w:t>
      </w:r>
    </w:p>
    <w:p w14:paraId="76E38949">
      <w:pPr>
        <w:pStyle w:val="5"/>
        <w:shd w:val="clear" w:color="auto" w:fill="FFFFFF"/>
        <w:adjustRightInd w:val="0"/>
        <w:snapToGrid w:val="0"/>
        <w:spacing w:before="0" w:beforeAutospacing="0" w:after="0" w:afterAutospacing="0"/>
        <w:jc w:val="center"/>
        <w:rPr>
          <w:rFonts w:ascii="Times New Roman" w:hAnsi="Times New Roman" w:eastAsia="方正仿宋_GBK" w:cs="Times New Roman"/>
          <w:b/>
          <w:color w:val="333333"/>
          <w:sz w:val="21"/>
          <w:szCs w:val="21"/>
        </w:rPr>
      </w:pPr>
    </w:p>
    <w:p w14:paraId="0FD0F35C">
      <w:pPr>
        <w:pStyle w:val="11"/>
        <w:numPr>
          <w:ilvl w:val="0"/>
          <w:numId w:val="1"/>
        </w:numPr>
        <w:ind w:firstLineChars="0"/>
        <w:jc w:val="left"/>
        <w:rPr>
          <w:rFonts w:ascii="Times New Roman" w:hAnsi="Times New Roman" w:eastAsia="宋体" w:cs="Times New Roman"/>
          <w:b/>
          <w:sz w:val="32"/>
        </w:rPr>
      </w:pPr>
      <w:r>
        <w:rPr>
          <w:rFonts w:ascii="Times New Roman" w:hAnsi="Times New Roman" w:eastAsia="宋体" w:cs="Times New Roman"/>
          <w:b/>
          <w:sz w:val="32"/>
        </w:rPr>
        <w:t>路网结构</w:t>
      </w:r>
    </w:p>
    <w:p w14:paraId="31C35B31">
      <w:pPr>
        <w:pStyle w:val="5"/>
        <w:shd w:val="clear" w:color="auto" w:fill="FFFFFF"/>
        <w:spacing w:before="0" w:beforeAutospacing="0" w:after="0" w:afterAutospacing="0"/>
        <w:ind w:firstLine="640"/>
        <w:jc w:val="both"/>
        <w:rPr>
          <w:rFonts w:ascii="仿宋_GB2312" w:hAnsi="Times New Roman" w:eastAsia="仿宋_GB2312" w:cs="Times New Roman"/>
          <w:color w:val="333333"/>
          <w:sz w:val="28"/>
          <w:szCs w:val="28"/>
        </w:rPr>
      </w:pPr>
      <w:r>
        <w:rPr>
          <w:rFonts w:ascii="仿宋_GB2312" w:hAnsi="Times New Roman" w:eastAsia="仿宋_GB2312" w:cs="Times New Roman"/>
          <w:color w:val="333333"/>
          <w:sz w:val="28"/>
          <w:szCs w:val="28"/>
        </w:rPr>
        <w:t xml:space="preserve">规划形成“四横六纵”主干路网结构。 </w:t>
      </w:r>
    </w:p>
    <w:p w14:paraId="2CB7AF7B">
      <w:pPr>
        <w:pStyle w:val="5"/>
        <w:shd w:val="clear" w:color="auto" w:fill="FFFFFF"/>
        <w:spacing w:before="0" w:beforeAutospacing="0" w:after="0" w:afterAutospacing="0"/>
        <w:ind w:firstLine="640"/>
        <w:jc w:val="both"/>
        <w:rPr>
          <w:rFonts w:ascii="仿宋_GB2312" w:hAnsi="Times New Roman" w:eastAsia="仿宋_GB2312" w:cs="Times New Roman"/>
          <w:color w:val="333333"/>
          <w:sz w:val="28"/>
          <w:szCs w:val="28"/>
        </w:rPr>
      </w:pPr>
      <w:r>
        <w:rPr>
          <w:rFonts w:ascii="仿宋_GB2312" w:hAnsi="Times New Roman" w:eastAsia="仿宋_GB2312" w:cs="Times New Roman"/>
          <w:color w:val="333333"/>
          <w:sz w:val="28"/>
          <w:szCs w:val="28"/>
        </w:rPr>
        <w:t xml:space="preserve">四横：雷音大街、迎宾大道、锦湾街、城南大街； </w:t>
      </w:r>
    </w:p>
    <w:p w14:paraId="0C981A2F">
      <w:pPr>
        <w:pStyle w:val="5"/>
        <w:shd w:val="clear" w:color="auto" w:fill="FFFFFF"/>
        <w:spacing w:before="0" w:beforeAutospacing="0" w:after="0" w:afterAutospacing="0"/>
        <w:ind w:firstLine="640"/>
        <w:jc w:val="both"/>
        <w:rPr>
          <w:rFonts w:ascii="仿宋_GB2312" w:hAnsi="Times New Roman" w:eastAsia="仿宋_GB2312" w:cs="Times New Roman"/>
          <w:color w:val="333333"/>
          <w:sz w:val="28"/>
          <w:szCs w:val="28"/>
        </w:rPr>
      </w:pPr>
      <w:r>
        <w:rPr>
          <w:rFonts w:ascii="仿宋_GB2312" w:hAnsi="Times New Roman" w:eastAsia="仿宋_GB2312" w:cs="Times New Roman"/>
          <w:color w:val="333333"/>
          <w:sz w:val="28"/>
          <w:szCs w:val="28"/>
        </w:rPr>
        <w:t>六纵：宝台大道、蜀乡大道、将军路、文明寺路、中兴街、迎宾大道。</w:t>
      </w:r>
    </w:p>
    <w:p w14:paraId="5387FBD2">
      <w:pPr>
        <w:pStyle w:val="5"/>
        <w:shd w:val="clear" w:color="auto" w:fill="FFFFFF"/>
        <w:adjustRightInd w:val="0"/>
        <w:snapToGrid w:val="0"/>
        <w:spacing w:before="0" w:beforeAutospacing="0" w:after="0" w:afterAutospacing="0"/>
        <w:jc w:val="center"/>
        <w:rPr>
          <w:rFonts w:ascii="Times New Roman" w:hAnsi="Times New Roman" w:eastAsia="方正仿宋_GBK" w:cs="Times New Roman"/>
          <w:b/>
          <w:color w:val="333333"/>
          <w:sz w:val="21"/>
          <w:szCs w:val="21"/>
        </w:rPr>
      </w:pPr>
      <w:r>
        <w:rPr>
          <w:rFonts w:ascii="Times New Roman" w:hAnsi="Times New Roman" w:eastAsia="方正仿宋_GBK" w:cs="Times New Roman"/>
          <w:b/>
          <w:color w:val="333333"/>
          <w:sz w:val="21"/>
          <w:szCs w:val="21"/>
        </w:rPr>
        <w:drawing>
          <wp:inline distT="0" distB="0" distL="0" distR="0">
            <wp:extent cx="4683760" cy="6619875"/>
            <wp:effectExtent l="0" t="0" r="2540" b="0"/>
            <wp:docPr id="5" name="图片 5" descr="H:\Z资阳市\03资阳控规修编\07过程稿\0709出图\10道路交通规划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H:\Z资阳市\03资阳控规修编\07过程稿\0709出图\10道路交通规划图.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694940" cy="6635624"/>
                    </a:xfrm>
                    <a:prstGeom prst="rect">
                      <a:avLst/>
                    </a:prstGeom>
                    <a:noFill/>
                    <a:ln>
                      <a:noFill/>
                    </a:ln>
                  </pic:spPr>
                </pic:pic>
              </a:graphicData>
            </a:graphic>
          </wp:inline>
        </w:drawing>
      </w:r>
    </w:p>
    <w:p w14:paraId="0500205A">
      <w:pPr>
        <w:pStyle w:val="5"/>
        <w:shd w:val="clear" w:color="auto" w:fill="FFFFFF"/>
        <w:adjustRightInd w:val="0"/>
        <w:snapToGrid w:val="0"/>
        <w:spacing w:before="0" w:beforeAutospacing="0" w:after="0" w:afterAutospacing="0"/>
        <w:jc w:val="center"/>
        <w:rPr>
          <w:rFonts w:ascii="Times New Roman" w:hAnsi="Times New Roman" w:eastAsia="方正仿宋_GBK" w:cs="Times New Roman"/>
          <w:b/>
          <w:color w:val="333333"/>
          <w:sz w:val="21"/>
          <w:szCs w:val="21"/>
        </w:rPr>
      </w:pPr>
      <w:r>
        <w:rPr>
          <w:rFonts w:ascii="Times New Roman" w:hAnsi="Times New Roman" w:eastAsia="方正仿宋_GBK" w:cs="Times New Roman"/>
          <w:b/>
          <w:color w:val="333333"/>
          <w:sz w:val="21"/>
          <w:szCs w:val="21"/>
        </w:rPr>
        <w:t>道路交通规划图</w:t>
      </w:r>
    </w:p>
    <w:p w14:paraId="33252F34">
      <w:pPr>
        <w:pStyle w:val="11"/>
        <w:numPr>
          <w:ilvl w:val="0"/>
          <w:numId w:val="1"/>
        </w:numPr>
        <w:ind w:firstLineChars="0"/>
        <w:jc w:val="left"/>
        <w:rPr>
          <w:rFonts w:ascii="Times New Roman" w:hAnsi="Times New Roman" w:eastAsia="宋体" w:cs="Times New Roman"/>
          <w:b/>
          <w:sz w:val="32"/>
        </w:rPr>
      </w:pPr>
      <w:r>
        <w:rPr>
          <w:rFonts w:ascii="Times New Roman" w:hAnsi="Times New Roman" w:eastAsia="宋体" w:cs="Times New Roman"/>
          <w:b/>
          <w:sz w:val="32"/>
        </w:rPr>
        <w:t>用地布局</w:t>
      </w:r>
    </w:p>
    <w:p w14:paraId="66EE63D9">
      <w:pPr>
        <w:pStyle w:val="5"/>
        <w:shd w:val="clear" w:color="auto" w:fill="FFFFFF"/>
        <w:spacing w:before="0" w:beforeAutospacing="0" w:after="0" w:afterAutospacing="0"/>
        <w:ind w:firstLine="640"/>
        <w:jc w:val="both"/>
        <w:rPr>
          <w:rFonts w:ascii="仿宋_GB2312" w:hAnsi="Times New Roman" w:eastAsia="仿宋_GB2312" w:cs="Times New Roman"/>
          <w:color w:val="333333"/>
          <w:sz w:val="28"/>
          <w:szCs w:val="28"/>
        </w:rPr>
      </w:pPr>
      <w:r>
        <w:rPr>
          <w:rFonts w:ascii="仿宋_GB2312" w:hAnsi="Times New Roman" w:eastAsia="仿宋_GB2312" w:cs="Times New Roman"/>
          <w:color w:val="333333"/>
          <w:sz w:val="28"/>
          <w:szCs w:val="28"/>
        </w:rPr>
        <w:t xml:space="preserve">总建设用地面积为 1994.89公顷 </w:t>
      </w:r>
    </w:p>
    <w:p w14:paraId="5C6FC55E">
      <w:pPr>
        <w:pStyle w:val="5"/>
        <w:shd w:val="clear" w:color="auto" w:fill="FFFFFF"/>
        <w:spacing w:before="0" w:beforeAutospacing="0" w:after="0" w:afterAutospacing="0"/>
        <w:ind w:firstLine="640"/>
        <w:jc w:val="both"/>
        <w:rPr>
          <w:rFonts w:ascii="仿宋_GB2312" w:hAnsi="Times New Roman" w:eastAsia="仿宋_GB2312" w:cs="Times New Roman"/>
          <w:color w:val="333333"/>
          <w:sz w:val="28"/>
          <w:szCs w:val="28"/>
        </w:rPr>
      </w:pPr>
      <w:r>
        <w:rPr>
          <w:rFonts w:ascii="仿宋_GB2312" w:hAnsi="Times New Roman" w:eastAsia="仿宋_GB2312" w:cs="Times New Roman"/>
          <w:color w:val="333333"/>
          <w:sz w:val="28"/>
          <w:szCs w:val="28"/>
        </w:rPr>
        <w:t xml:space="preserve">（1） 居住用地757.47公顷，占比 37.82%； </w:t>
      </w:r>
    </w:p>
    <w:p w14:paraId="32CEA4F8">
      <w:pPr>
        <w:pStyle w:val="5"/>
        <w:shd w:val="clear" w:color="auto" w:fill="FFFFFF"/>
        <w:spacing w:before="0" w:beforeAutospacing="0" w:after="0" w:afterAutospacing="0"/>
        <w:ind w:firstLine="640"/>
        <w:jc w:val="both"/>
        <w:rPr>
          <w:rFonts w:ascii="仿宋_GB2312" w:hAnsi="Times New Roman" w:eastAsia="仿宋_GB2312" w:cs="Times New Roman"/>
          <w:color w:val="333333"/>
          <w:sz w:val="28"/>
          <w:szCs w:val="28"/>
        </w:rPr>
      </w:pPr>
      <w:r>
        <w:rPr>
          <w:rFonts w:ascii="仿宋_GB2312" w:hAnsi="Times New Roman" w:eastAsia="仿宋_GB2312" w:cs="Times New Roman"/>
          <w:color w:val="333333"/>
          <w:sz w:val="28"/>
          <w:szCs w:val="28"/>
        </w:rPr>
        <w:t xml:space="preserve">（2） 公共管理与公共服务用地194.62公顷，占比 9.76%； </w:t>
      </w:r>
    </w:p>
    <w:p w14:paraId="1F628BC3">
      <w:pPr>
        <w:pStyle w:val="5"/>
        <w:shd w:val="clear" w:color="auto" w:fill="FFFFFF"/>
        <w:spacing w:before="0" w:beforeAutospacing="0" w:after="0" w:afterAutospacing="0"/>
        <w:ind w:firstLine="640"/>
        <w:jc w:val="both"/>
        <w:rPr>
          <w:rFonts w:ascii="仿宋_GB2312" w:hAnsi="Times New Roman" w:eastAsia="仿宋_GB2312" w:cs="Times New Roman"/>
          <w:color w:val="333333"/>
          <w:sz w:val="28"/>
          <w:szCs w:val="28"/>
        </w:rPr>
      </w:pPr>
      <w:r>
        <w:rPr>
          <w:rFonts w:ascii="仿宋_GB2312" w:hAnsi="Times New Roman" w:eastAsia="仿宋_GB2312" w:cs="Times New Roman"/>
          <w:color w:val="333333"/>
          <w:sz w:val="28"/>
          <w:szCs w:val="28"/>
        </w:rPr>
        <w:t xml:space="preserve">（3） 商业服务业设施用地 170.30公顷，占比 8.54%； </w:t>
      </w:r>
    </w:p>
    <w:p w14:paraId="026B8271">
      <w:pPr>
        <w:pStyle w:val="5"/>
        <w:shd w:val="clear" w:color="auto" w:fill="FFFFFF"/>
        <w:spacing w:before="0" w:beforeAutospacing="0" w:after="0" w:afterAutospacing="0"/>
        <w:ind w:firstLine="640"/>
        <w:jc w:val="both"/>
        <w:rPr>
          <w:rFonts w:ascii="仿宋_GB2312" w:hAnsi="Times New Roman" w:eastAsia="仿宋_GB2312" w:cs="Times New Roman"/>
          <w:color w:val="333333"/>
          <w:sz w:val="28"/>
          <w:szCs w:val="28"/>
        </w:rPr>
      </w:pPr>
      <w:r>
        <w:rPr>
          <w:rFonts w:ascii="仿宋_GB2312" w:hAnsi="Times New Roman" w:eastAsia="仿宋_GB2312" w:cs="Times New Roman"/>
          <w:color w:val="333333"/>
          <w:sz w:val="28"/>
          <w:szCs w:val="28"/>
        </w:rPr>
        <w:t xml:space="preserve">（4） 道路与交通设施用地337.65公顷，占比16.93%； </w:t>
      </w:r>
    </w:p>
    <w:p w14:paraId="0101DB34">
      <w:pPr>
        <w:pStyle w:val="5"/>
        <w:shd w:val="clear" w:color="auto" w:fill="FFFFFF"/>
        <w:spacing w:before="0" w:beforeAutospacing="0" w:after="0" w:afterAutospacing="0"/>
        <w:ind w:firstLine="640"/>
        <w:jc w:val="both"/>
        <w:rPr>
          <w:rFonts w:ascii="仿宋_GB2312" w:hAnsi="Times New Roman" w:eastAsia="仿宋_GB2312" w:cs="Times New Roman"/>
          <w:color w:val="333333"/>
          <w:sz w:val="28"/>
          <w:szCs w:val="28"/>
        </w:rPr>
      </w:pPr>
      <w:r>
        <w:rPr>
          <w:rFonts w:ascii="仿宋_GB2312" w:hAnsi="Times New Roman" w:eastAsia="仿宋_GB2312" w:cs="Times New Roman"/>
          <w:color w:val="333333"/>
          <w:sz w:val="28"/>
          <w:szCs w:val="28"/>
        </w:rPr>
        <w:t xml:space="preserve">（5） 公用设施用地34.66公顷，占比1.74%； </w:t>
      </w:r>
    </w:p>
    <w:p w14:paraId="352015C2">
      <w:pPr>
        <w:pStyle w:val="5"/>
        <w:shd w:val="clear" w:color="auto" w:fill="FFFFFF"/>
        <w:spacing w:before="0" w:beforeAutospacing="0" w:after="0" w:afterAutospacing="0"/>
        <w:ind w:firstLine="640"/>
        <w:jc w:val="both"/>
        <w:rPr>
          <w:rFonts w:ascii="仿宋_GB2312" w:hAnsi="Times New Roman" w:eastAsia="仿宋_GB2312" w:cs="Times New Roman"/>
          <w:color w:val="333333"/>
          <w:sz w:val="28"/>
          <w:szCs w:val="28"/>
        </w:rPr>
      </w:pPr>
      <w:r>
        <w:rPr>
          <w:rFonts w:ascii="仿宋_GB2312" w:hAnsi="Times New Roman" w:eastAsia="仿宋_GB2312" w:cs="Times New Roman"/>
          <w:color w:val="333333"/>
          <w:sz w:val="28"/>
          <w:szCs w:val="28"/>
        </w:rPr>
        <w:t xml:space="preserve">（6） 绿地与广场用地308.75公顷，占比15.48%； </w:t>
      </w:r>
    </w:p>
    <w:p w14:paraId="0154631D">
      <w:pPr>
        <w:pStyle w:val="5"/>
        <w:shd w:val="clear" w:color="auto" w:fill="FFFFFF"/>
        <w:spacing w:before="0" w:beforeAutospacing="0" w:after="0" w:afterAutospacing="0"/>
        <w:ind w:firstLine="640"/>
        <w:jc w:val="both"/>
        <w:rPr>
          <w:rFonts w:ascii="仿宋_GB2312" w:hAnsi="Times New Roman" w:eastAsia="仿宋_GB2312" w:cs="Times New Roman"/>
          <w:color w:val="333333"/>
          <w:sz w:val="28"/>
          <w:szCs w:val="28"/>
        </w:rPr>
      </w:pPr>
      <w:r>
        <w:rPr>
          <w:rFonts w:ascii="仿宋_GB2312" w:hAnsi="Times New Roman" w:eastAsia="仿宋_GB2312" w:cs="Times New Roman"/>
          <w:color w:val="333333"/>
          <w:sz w:val="28"/>
          <w:szCs w:val="28"/>
        </w:rPr>
        <w:t xml:space="preserve">（7） 特殊用地1.70公顷，占比 0.09%； </w:t>
      </w:r>
    </w:p>
    <w:p w14:paraId="6497D7E8">
      <w:pPr>
        <w:pStyle w:val="5"/>
        <w:shd w:val="clear" w:color="auto" w:fill="FFFFFF"/>
        <w:spacing w:before="0" w:beforeAutospacing="0" w:after="0" w:afterAutospacing="0"/>
        <w:ind w:firstLine="640"/>
        <w:jc w:val="both"/>
        <w:rPr>
          <w:rFonts w:ascii="仿宋_GB2312" w:hAnsi="Times New Roman" w:eastAsia="仿宋_GB2312" w:cs="Times New Roman"/>
          <w:color w:val="333333"/>
          <w:sz w:val="28"/>
          <w:szCs w:val="28"/>
        </w:rPr>
      </w:pPr>
      <w:r>
        <w:rPr>
          <w:rFonts w:ascii="仿宋_GB2312" w:hAnsi="Times New Roman" w:eastAsia="仿宋_GB2312" w:cs="Times New Roman"/>
          <w:color w:val="333333"/>
          <w:sz w:val="28"/>
          <w:szCs w:val="28"/>
        </w:rPr>
        <w:t>（8） 留白用地23.91公顷，占比 1.20%。</w:t>
      </w:r>
    </w:p>
    <w:p w14:paraId="003A1A40">
      <w:pPr>
        <w:pStyle w:val="5"/>
        <w:shd w:val="clear" w:color="auto" w:fill="FFFFFF"/>
        <w:adjustRightInd w:val="0"/>
        <w:snapToGrid w:val="0"/>
        <w:spacing w:before="0" w:beforeAutospacing="0" w:after="0" w:afterAutospacing="0"/>
        <w:jc w:val="center"/>
        <w:rPr>
          <w:rFonts w:ascii="Times New Roman" w:hAnsi="Times New Roman" w:eastAsia="方正仿宋_GBK" w:cs="Times New Roman"/>
          <w:b/>
          <w:color w:val="333333"/>
          <w:sz w:val="21"/>
          <w:szCs w:val="21"/>
          <w:highlight w:val="yellow"/>
        </w:rPr>
      </w:pPr>
      <w:r>
        <w:rPr>
          <w:rFonts w:ascii="Times New Roman" w:hAnsi="Times New Roman" w:eastAsia="方正仿宋_GBK" w:cs="Times New Roman"/>
          <w:b/>
          <w:color w:val="333333"/>
          <w:sz w:val="21"/>
          <w:szCs w:val="21"/>
        </w:rPr>
        <w:drawing>
          <wp:inline distT="0" distB="0" distL="0" distR="0">
            <wp:extent cx="5274310" cy="7457440"/>
            <wp:effectExtent l="0" t="0" r="2540" b="0"/>
            <wp:docPr id="4" name="图片 4" descr="C:\Users\win10\Desktop\用地布局-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win10\Desktop\用地布局-Mode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74310" cy="7457874"/>
                    </a:xfrm>
                    <a:prstGeom prst="rect">
                      <a:avLst/>
                    </a:prstGeom>
                    <a:noFill/>
                    <a:ln>
                      <a:noFill/>
                    </a:ln>
                  </pic:spPr>
                </pic:pic>
              </a:graphicData>
            </a:graphic>
          </wp:inline>
        </w:drawing>
      </w:r>
    </w:p>
    <w:p w14:paraId="1D86DC3E">
      <w:pPr>
        <w:pStyle w:val="5"/>
        <w:shd w:val="clear" w:color="auto" w:fill="FFFFFF"/>
        <w:adjustRightInd w:val="0"/>
        <w:snapToGrid w:val="0"/>
        <w:spacing w:before="0" w:beforeAutospacing="0" w:after="0" w:afterAutospacing="0"/>
        <w:jc w:val="center"/>
        <w:rPr>
          <w:rFonts w:ascii="Times New Roman" w:hAnsi="Times New Roman" w:eastAsia="方正仿宋_GBK" w:cs="Times New Roman"/>
          <w:b/>
          <w:color w:val="333333"/>
          <w:sz w:val="21"/>
          <w:szCs w:val="21"/>
        </w:rPr>
      </w:pPr>
      <w:r>
        <w:rPr>
          <w:rFonts w:ascii="Times New Roman" w:hAnsi="Times New Roman" w:eastAsia="方正仿宋_GBK" w:cs="Times New Roman"/>
          <w:b/>
          <w:color w:val="333333"/>
          <w:sz w:val="21"/>
          <w:szCs w:val="21"/>
        </w:rPr>
        <w:t>国土空间用地规划图</w:t>
      </w:r>
    </w:p>
    <w:p w14:paraId="307B2EF2">
      <w:pPr>
        <w:pStyle w:val="5"/>
        <w:shd w:val="clear" w:color="auto" w:fill="FFFFFF"/>
        <w:spacing w:before="0" w:beforeAutospacing="0" w:after="0" w:afterAutospacing="0"/>
        <w:jc w:val="center"/>
        <w:rPr>
          <w:rFonts w:ascii="Times New Roman" w:hAnsi="Times New Roman" w:eastAsia="方正仿宋_GBK" w:cs="Times New Roman"/>
          <w:b/>
          <w:color w:val="333333"/>
          <w:sz w:val="21"/>
          <w:szCs w:val="21"/>
        </w:rPr>
      </w:pPr>
    </w:p>
    <w:p w14:paraId="7BD999E5">
      <w:pPr>
        <w:pStyle w:val="5"/>
        <w:shd w:val="clear" w:color="auto" w:fill="FFFFFF"/>
        <w:spacing w:before="0" w:beforeAutospacing="0" w:after="0" w:afterAutospacing="0"/>
        <w:jc w:val="center"/>
        <w:rPr>
          <w:rFonts w:ascii="Times New Roman" w:hAnsi="Times New Roman" w:eastAsia="方正仿宋_GBK" w:cs="Times New Roman"/>
          <w:b/>
          <w:color w:val="333333"/>
          <w:sz w:val="21"/>
          <w:szCs w:val="21"/>
        </w:rPr>
      </w:pPr>
    </w:p>
    <w:p w14:paraId="0FB75A2C">
      <w:pPr>
        <w:pStyle w:val="5"/>
        <w:shd w:val="clear" w:color="auto" w:fill="FFFFFF"/>
        <w:spacing w:before="0" w:beforeAutospacing="0" w:after="0" w:afterAutospacing="0"/>
        <w:jc w:val="center"/>
        <w:rPr>
          <w:rFonts w:ascii="Times New Roman" w:hAnsi="Times New Roman" w:eastAsia="方正仿宋_GBK" w:cs="Times New Roman"/>
          <w:b/>
          <w:color w:val="333333"/>
          <w:sz w:val="21"/>
          <w:szCs w:val="21"/>
        </w:rPr>
      </w:pPr>
    </w:p>
    <w:p w14:paraId="6A02FCE6">
      <w:pPr>
        <w:pStyle w:val="5"/>
        <w:shd w:val="clear" w:color="auto" w:fill="FFFFFF"/>
        <w:spacing w:before="0" w:beforeAutospacing="0" w:after="0" w:afterAutospacing="0"/>
        <w:jc w:val="center"/>
        <w:rPr>
          <w:rFonts w:ascii="Times New Roman" w:hAnsi="Times New Roman" w:eastAsia="方正仿宋_GBK" w:cs="Times New Roman"/>
          <w:b/>
          <w:color w:val="333333"/>
          <w:sz w:val="21"/>
          <w:szCs w:val="21"/>
        </w:rPr>
      </w:pPr>
    </w:p>
    <w:p w14:paraId="3AD415E9">
      <w:pPr>
        <w:pStyle w:val="5"/>
        <w:shd w:val="clear" w:color="auto" w:fill="FFFFFF"/>
        <w:spacing w:before="0" w:beforeAutospacing="0" w:after="0" w:afterAutospacing="0"/>
        <w:jc w:val="center"/>
        <w:rPr>
          <w:rFonts w:ascii="Times New Roman" w:hAnsi="Times New Roman" w:eastAsia="方正仿宋_GBK" w:cs="Times New Roman"/>
          <w:b/>
          <w:color w:val="333333"/>
          <w:sz w:val="21"/>
          <w:szCs w:val="21"/>
        </w:rPr>
      </w:pPr>
    </w:p>
    <w:p w14:paraId="434BCD34">
      <w:pPr>
        <w:pStyle w:val="11"/>
        <w:numPr>
          <w:ilvl w:val="0"/>
          <w:numId w:val="1"/>
        </w:numPr>
        <w:ind w:firstLineChars="0"/>
        <w:jc w:val="left"/>
        <w:rPr>
          <w:rFonts w:ascii="Times New Roman" w:hAnsi="Times New Roman" w:eastAsia="宋体" w:cs="Times New Roman"/>
          <w:b/>
          <w:sz w:val="32"/>
        </w:rPr>
      </w:pPr>
      <w:r>
        <w:rPr>
          <w:rFonts w:hint="eastAsia" w:ascii="Times New Roman" w:hAnsi="Times New Roman" w:eastAsia="宋体" w:cs="Times New Roman"/>
          <w:b/>
          <w:sz w:val="32"/>
        </w:rPr>
        <w:t>公共管理与</w:t>
      </w:r>
      <w:r>
        <w:rPr>
          <w:rFonts w:ascii="Times New Roman" w:hAnsi="Times New Roman" w:eastAsia="宋体" w:cs="Times New Roman"/>
          <w:b/>
          <w:sz w:val="32"/>
        </w:rPr>
        <w:t>公共服务设施</w:t>
      </w:r>
    </w:p>
    <w:p w14:paraId="46E2F479">
      <w:pPr>
        <w:pStyle w:val="5"/>
        <w:shd w:val="clear" w:color="auto" w:fill="FFFFFF"/>
        <w:spacing w:before="0" w:beforeAutospacing="0" w:after="0" w:afterAutospacing="0"/>
        <w:ind w:firstLine="640"/>
        <w:jc w:val="both"/>
        <w:rPr>
          <w:rFonts w:ascii="仿宋_GB2312" w:hAnsi="Times New Roman" w:eastAsia="仿宋_GB2312" w:cs="Times New Roman"/>
          <w:color w:val="333333"/>
          <w:sz w:val="28"/>
          <w:szCs w:val="28"/>
        </w:rPr>
      </w:pPr>
      <w:r>
        <w:rPr>
          <w:rFonts w:ascii="仿宋_GB2312" w:hAnsi="Times New Roman" w:eastAsia="仿宋_GB2312" w:cs="Times New Roman"/>
          <w:color w:val="333333"/>
          <w:sz w:val="28"/>
          <w:szCs w:val="28"/>
        </w:rPr>
        <w:t>规划构建“城市-片区-居住区” 三级公共服务体系，并根据《社区生活圈规划技术指南》《城市居住区规划设计标准》构建了 “15分钟-10分钟-5分钟”三级居住区生活圈体系。</w:t>
      </w:r>
    </w:p>
    <w:p w14:paraId="7264D444">
      <w:pPr>
        <w:pStyle w:val="5"/>
        <w:shd w:val="clear" w:color="auto" w:fill="FFFFFF"/>
        <w:spacing w:before="0" w:beforeAutospacing="0" w:after="0" w:afterAutospacing="0"/>
        <w:ind w:firstLine="640"/>
        <w:jc w:val="both"/>
        <w:rPr>
          <w:rFonts w:ascii="仿宋_GB2312" w:hAnsi="Times New Roman" w:eastAsia="仿宋_GB2312" w:cs="Times New Roman"/>
          <w:color w:val="333333"/>
          <w:sz w:val="28"/>
          <w:szCs w:val="28"/>
        </w:rPr>
      </w:pPr>
      <w:r>
        <w:rPr>
          <w:rFonts w:ascii="仿宋_GB2312" w:hAnsi="Times New Roman" w:eastAsia="仿宋_GB2312" w:cs="Times New Roman"/>
          <w:color w:val="333333"/>
          <w:sz w:val="28"/>
          <w:szCs w:val="28"/>
        </w:rPr>
        <w:t>城市级公共服务设施主要包括雁江区人民政府、资阳环境科技职业学院等服务于资阳市及周边区域的高能级服务设施。</w:t>
      </w:r>
    </w:p>
    <w:p w14:paraId="092E3EAD">
      <w:pPr>
        <w:pStyle w:val="5"/>
        <w:shd w:val="clear" w:color="auto" w:fill="FFFFFF"/>
        <w:spacing w:before="0" w:beforeAutospacing="0" w:after="0" w:afterAutospacing="0"/>
        <w:ind w:firstLine="640"/>
        <w:jc w:val="both"/>
        <w:rPr>
          <w:rFonts w:ascii="仿宋_GB2312" w:hAnsi="Times New Roman" w:eastAsia="仿宋_GB2312" w:cs="Times New Roman"/>
          <w:color w:val="333333"/>
          <w:sz w:val="28"/>
          <w:szCs w:val="28"/>
        </w:rPr>
      </w:pPr>
      <w:r>
        <w:rPr>
          <w:rFonts w:ascii="仿宋_GB2312" w:hAnsi="Times New Roman" w:eastAsia="仿宋_GB2312" w:cs="Times New Roman"/>
          <w:color w:val="333333"/>
          <w:sz w:val="28"/>
          <w:szCs w:val="28"/>
        </w:rPr>
        <w:t>片区级公共服务设施主要包括小学、卫生院、社会福利等服务于城东片区的相关公共服务设施。</w:t>
      </w:r>
    </w:p>
    <w:p w14:paraId="7A4BCFE8">
      <w:pPr>
        <w:pStyle w:val="5"/>
        <w:shd w:val="clear" w:color="auto" w:fill="FFFFFF"/>
        <w:spacing w:before="0" w:beforeAutospacing="0" w:after="0" w:afterAutospacing="0"/>
        <w:ind w:firstLine="640"/>
        <w:jc w:val="both"/>
        <w:rPr>
          <w:rFonts w:ascii="仿宋_GB2312" w:hAnsi="Times New Roman" w:eastAsia="仿宋_GB2312" w:cs="Times New Roman"/>
          <w:color w:val="333333"/>
          <w:sz w:val="28"/>
          <w:szCs w:val="28"/>
        </w:rPr>
      </w:pPr>
      <w:r>
        <w:rPr>
          <w:rFonts w:ascii="仿宋_GB2312" w:hAnsi="Times New Roman" w:eastAsia="仿宋_GB2312" w:cs="Times New Roman"/>
          <w:color w:val="333333"/>
          <w:sz w:val="28"/>
          <w:szCs w:val="28"/>
        </w:rPr>
        <w:t>居住区级公共服务中心按照居住用地分布进行设置，主要是为居住配套的各类公共服务设施，包括行政管理、基础教育、社区商业服务、文化体育、社区服务和医疗卫生等设施。</w:t>
      </w:r>
    </w:p>
    <w:p w14:paraId="180E999C">
      <w:pPr>
        <w:pStyle w:val="5"/>
        <w:shd w:val="clear" w:color="auto" w:fill="FFFFFF"/>
        <w:spacing w:before="0" w:beforeAutospacing="0" w:after="0" w:afterAutospacing="0"/>
        <w:ind w:firstLine="640"/>
        <w:jc w:val="both"/>
        <w:rPr>
          <w:rFonts w:ascii="仿宋_GB2312" w:hAnsi="Times New Roman" w:eastAsia="仿宋_GB2312" w:cs="Times New Roman"/>
          <w:color w:val="333333"/>
          <w:sz w:val="28"/>
          <w:szCs w:val="28"/>
        </w:rPr>
      </w:pPr>
      <w:r>
        <w:rPr>
          <w:rFonts w:ascii="仿宋_GB2312" w:hAnsi="Times New Roman" w:eastAsia="仿宋_GB2312" w:cs="Times New Roman"/>
          <w:color w:val="333333"/>
          <w:sz w:val="28"/>
          <w:szCs w:val="28"/>
        </w:rPr>
        <w:t>本次规划共构建3个15分钟生活圈，配套设施包含机关团体设施3处、教育设施6处、医疗卫生设施3处、文化设施4处，体育设施4处；</w:t>
      </w:r>
    </w:p>
    <w:p w14:paraId="2A289B59">
      <w:pPr>
        <w:pStyle w:val="5"/>
        <w:shd w:val="clear" w:color="auto" w:fill="FFFFFF"/>
        <w:spacing w:before="0" w:beforeAutospacing="0" w:after="0" w:afterAutospacing="0"/>
        <w:ind w:firstLine="640"/>
        <w:jc w:val="both"/>
        <w:rPr>
          <w:rFonts w:ascii="仿宋_GB2312" w:hAnsi="Times New Roman" w:eastAsia="仿宋_GB2312" w:cs="Times New Roman"/>
          <w:color w:val="333333"/>
          <w:sz w:val="28"/>
          <w:szCs w:val="28"/>
        </w:rPr>
      </w:pPr>
      <w:r>
        <w:rPr>
          <w:rFonts w:ascii="仿宋_GB2312" w:hAnsi="Times New Roman" w:eastAsia="仿宋_GB2312" w:cs="Times New Roman"/>
          <w:color w:val="333333"/>
          <w:sz w:val="28"/>
          <w:szCs w:val="28"/>
        </w:rPr>
        <w:t>构建6个10分钟生活圈，包含8处社区服务中心、9处派出所、6处文化活动中心、3处中型多功能运动场地、4所小学；</w:t>
      </w:r>
    </w:p>
    <w:p w14:paraId="45C7BFA6">
      <w:pPr>
        <w:pStyle w:val="5"/>
        <w:shd w:val="clear" w:color="auto" w:fill="FFFFFF"/>
        <w:spacing w:before="0" w:beforeAutospacing="0" w:after="0" w:afterAutospacing="0"/>
        <w:ind w:firstLine="640"/>
        <w:jc w:val="both"/>
        <w:rPr>
          <w:rFonts w:ascii="仿宋_GB2312" w:hAnsi="Times New Roman" w:eastAsia="仿宋_GB2312" w:cs="Times New Roman"/>
          <w:color w:val="333333"/>
          <w:sz w:val="28"/>
          <w:szCs w:val="28"/>
        </w:rPr>
      </w:pPr>
      <w:r>
        <w:rPr>
          <w:rFonts w:ascii="仿宋_GB2312" w:hAnsi="Times New Roman" w:eastAsia="仿宋_GB2312" w:cs="Times New Roman"/>
          <w:color w:val="333333"/>
          <w:sz w:val="28"/>
          <w:szCs w:val="28"/>
        </w:rPr>
        <w:t>构建30个5分钟生活圈，包含30处社区服务站、30处文化活动站、30处小型多功能运动场地、38处幼儿园、30处社区卫生服务站、30处社区日间照料中心。</w:t>
      </w:r>
    </w:p>
    <w:p w14:paraId="5FB03484">
      <w:pPr>
        <w:pStyle w:val="5"/>
        <w:shd w:val="clear" w:color="auto" w:fill="FFFFFF"/>
        <w:adjustRightInd w:val="0"/>
        <w:snapToGrid w:val="0"/>
        <w:spacing w:before="0" w:beforeAutospacing="0" w:after="0" w:afterAutospacing="0"/>
        <w:jc w:val="center"/>
        <w:rPr>
          <w:rFonts w:ascii="Times New Roman" w:hAnsi="Times New Roman" w:eastAsia="方正仿宋_GBK" w:cs="Times New Roman"/>
          <w:b/>
          <w:color w:val="333333"/>
          <w:sz w:val="21"/>
          <w:szCs w:val="21"/>
        </w:rPr>
      </w:pPr>
      <w:r>
        <w:rPr>
          <w:rFonts w:hint="eastAsia" w:ascii="Times New Roman" w:hAnsi="Times New Roman" w:eastAsia="方正仿宋_GBK" w:cs="Times New Roman"/>
          <w:b/>
          <w:color w:val="333333"/>
          <w:sz w:val="21"/>
          <w:szCs w:val="21"/>
        </w:rPr>
        <w:drawing>
          <wp:inline distT="0" distB="0" distL="114300" distR="114300">
            <wp:extent cx="5257800" cy="7434580"/>
            <wp:effectExtent l="0" t="0" r="0" b="13970"/>
            <wp:docPr id="3" name="图片 3" descr="c8bb89c797be69864348c21bfd98b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8bb89c797be69864348c21bfd98b44"/>
                    <pic:cNvPicPr>
                      <a:picLocks noChangeAspect="1"/>
                    </pic:cNvPicPr>
                  </pic:nvPicPr>
                  <pic:blipFill>
                    <a:blip r:embed="rId10"/>
                    <a:stretch>
                      <a:fillRect/>
                    </a:stretch>
                  </pic:blipFill>
                  <pic:spPr>
                    <a:xfrm>
                      <a:off x="0" y="0"/>
                      <a:ext cx="5257800" cy="7434580"/>
                    </a:xfrm>
                    <a:prstGeom prst="rect">
                      <a:avLst/>
                    </a:prstGeom>
                  </pic:spPr>
                </pic:pic>
              </a:graphicData>
            </a:graphic>
          </wp:inline>
        </w:drawing>
      </w:r>
    </w:p>
    <w:p w14:paraId="634D7F72">
      <w:pPr>
        <w:pStyle w:val="5"/>
        <w:shd w:val="clear" w:color="auto" w:fill="FFFFFF"/>
        <w:adjustRightInd w:val="0"/>
        <w:snapToGrid w:val="0"/>
        <w:spacing w:before="0" w:beforeAutospacing="0" w:after="0" w:afterAutospacing="0"/>
        <w:jc w:val="center"/>
        <w:rPr>
          <w:rFonts w:ascii="Times New Roman" w:hAnsi="Times New Roman" w:eastAsia="方正仿宋_GBK" w:cs="Times New Roman"/>
          <w:b/>
          <w:color w:val="333333"/>
          <w:sz w:val="21"/>
          <w:szCs w:val="21"/>
        </w:rPr>
      </w:pPr>
      <w:r>
        <w:rPr>
          <w:rFonts w:ascii="Times New Roman" w:hAnsi="Times New Roman" w:eastAsia="方正仿宋_GBK" w:cs="Times New Roman"/>
          <w:b/>
          <w:color w:val="333333"/>
          <w:sz w:val="21"/>
          <w:szCs w:val="21"/>
        </w:rPr>
        <w:t>公共管理与公共服务设施规划图</w:t>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endnote>
  <w:endnote w:type="continuationSeparator"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方正仿宋_GBK">
    <w:panose1 w:val="03000509000000000000"/>
    <w:charset w:val="86"/>
    <w:family w:val="roman"/>
    <w:pitch w:val="default"/>
    <w:sig w:usb0="00000001" w:usb1="080E0000" w:usb2="00000000" w:usb3="00000000" w:csb0="00040000" w:csb1="00000000"/>
  </w:font>
  <w:font w:name="Malgun Gothic">
    <w:panose1 w:val="020B0503020000020004"/>
    <w:charset w:val="81"/>
    <w:family w:val="swiss"/>
    <w:pitch w:val="default"/>
    <w:sig w:usb0="900002AF" w:usb1="01D77CFB" w:usb2="00000012" w:usb3="00000000" w:csb0="00080001" w:csb1="00000000"/>
  </w:font>
  <w:font w:name="Arial Unicode MS">
    <w:panose1 w:val="020B0604020202020204"/>
    <w:charset w:val="86"/>
    <w:family w:val="auto"/>
    <w:pitch w:val="default"/>
    <w:sig w:usb0="FFFFFFFF" w:usb1="E9FFFFFF" w:usb2="0000003F" w:usb3="00000000" w:csb0="603F01FF" w:csb1="FFFF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footnote>
  <w:footnote w:type="continuationSeparator" w:id="1">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2890B12"/>
    <w:multiLevelType w:val="multilevel"/>
    <w:tmpl w:val="52890B12"/>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M3YzQ2YWU5YWZiOWQ5YTEyNzQ0OGU5YzM4MDk2MjMifQ=="/>
  </w:docVars>
  <w:rsids>
    <w:rsidRoot w:val="00C40E68"/>
    <w:rsid w:val="00036F5D"/>
    <w:rsid w:val="00066FE8"/>
    <w:rsid w:val="00142543"/>
    <w:rsid w:val="001B3A17"/>
    <w:rsid w:val="00203662"/>
    <w:rsid w:val="00207184"/>
    <w:rsid w:val="00264AF5"/>
    <w:rsid w:val="002B5BEA"/>
    <w:rsid w:val="00311FC9"/>
    <w:rsid w:val="0038615B"/>
    <w:rsid w:val="003D453A"/>
    <w:rsid w:val="003D7CE1"/>
    <w:rsid w:val="003F478B"/>
    <w:rsid w:val="00430692"/>
    <w:rsid w:val="00440BEC"/>
    <w:rsid w:val="004F6FD6"/>
    <w:rsid w:val="005176BF"/>
    <w:rsid w:val="005D5CA0"/>
    <w:rsid w:val="00603F2F"/>
    <w:rsid w:val="006757B9"/>
    <w:rsid w:val="0072519B"/>
    <w:rsid w:val="00825A35"/>
    <w:rsid w:val="009234A4"/>
    <w:rsid w:val="0099371A"/>
    <w:rsid w:val="00AD171B"/>
    <w:rsid w:val="00AE3650"/>
    <w:rsid w:val="00C33BA8"/>
    <w:rsid w:val="00C40E68"/>
    <w:rsid w:val="00C74EB5"/>
    <w:rsid w:val="00D12329"/>
    <w:rsid w:val="00E30C48"/>
    <w:rsid w:val="10BB18C3"/>
    <w:rsid w:val="1CAE4811"/>
    <w:rsid w:val="2C620E06"/>
    <w:rsid w:val="4CD5641A"/>
    <w:rsid w:val="5167626A"/>
    <w:rsid w:val="5F982063"/>
    <w:rsid w:val="62766A3A"/>
    <w:rsid w:val="7F535C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Body Text"/>
    <w:basedOn w:val="1"/>
    <w:link w:val="13"/>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3">
    <w:name w:val="footer"/>
    <w:basedOn w:val="1"/>
    <w:link w:val="10"/>
    <w:unhideWhenUsed/>
    <w:qFormat/>
    <w:uiPriority w:val="99"/>
    <w:pPr>
      <w:tabs>
        <w:tab w:val="center" w:pos="4153"/>
        <w:tab w:val="right" w:pos="8306"/>
      </w:tabs>
      <w:snapToGrid w:val="0"/>
      <w:jc w:val="left"/>
    </w:pPr>
    <w:rPr>
      <w:sz w:val="18"/>
      <w:szCs w:val="18"/>
    </w:rPr>
  </w:style>
  <w:style w:type="paragraph" w:styleId="4">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8">
    <w:name w:val="Hyperlink"/>
    <w:basedOn w:val="7"/>
    <w:unhideWhenUsed/>
    <w:qFormat/>
    <w:uiPriority w:val="99"/>
    <w:rPr>
      <w:color w:val="0563C1" w:themeColor="hyperlink"/>
      <w:u w:val="single"/>
      <w14:textFill>
        <w14:solidFill>
          <w14:schemeClr w14:val="hlink"/>
        </w14:solidFill>
      </w14:textFill>
    </w:rPr>
  </w:style>
  <w:style w:type="character" w:customStyle="1" w:styleId="9">
    <w:name w:val="页眉 字符"/>
    <w:basedOn w:val="7"/>
    <w:link w:val="4"/>
    <w:qFormat/>
    <w:uiPriority w:val="99"/>
    <w:rPr>
      <w:sz w:val="18"/>
      <w:szCs w:val="18"/>
    </w:rPr>
  </w:style>
  <w:style w:type="character" w:customStyle="1" w:styleId="10">
    <w:name w:val="页脚 字符"/>
    <w:basedOn w:val="7"/>
    <w:link w:val="3"/>
    <w:qFormat/>
    <w:uiPriority w:val="99"/>
    <w:rPr>
      <w:sz w:val="18"/>
      <w:szCs w:val="18"/>
    </w:rPr>
  </w:style>
  <w:style w:type="paragraph" w:styleId="11">
    <w:name w:val="List Paragraph"/>
    <w:basedOn w:val="1"/>
    <w:qFormat/>
    <w:uiPriority w:val="34"/>
    <w:pPr>
      <w:ind w:firstLine="420" w:firstLineChars="200"/>
    </w:pPr>
  </w:style>
  <w:style w:type="paragraph" w:customStyle="1" w:styleId="12">
    <w:name w:val="p"/>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13">
    <w:name w:val="正文文本 字符"/>
    <w:basedOn w:val="7"/>
    <w:link w:val="2"/>
    <w:semiHidden/>
    <w:qFormat/>
    <w:uiPriority w:val="99"/>
    <w:rPr>
      <w:rFonts w:ascii="宋体" w:hAnsi="宋体" w:eastAsia="宋体" w:cs="宋体"/>
      <w:sz w:val="24"/>
      <w:szCs w:val="24"/>
    </w:rPr>
  </w:style>
  <w:style w:type="character" w:customStyle="1" w:styleId="14">
    <w:name w:val="15"/>
    <w:basedOn w:val="7"/>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1898</Words>
  <Characters>2088</Characters>
  <Lines>16</Lines>
  <Paragraphs>4</Paragraphs>
  <TotalTime>0</TotalTime>
  <ScaleCrop>false</ScaleCrop>
  <LinksUpToDate>false</LinksUpToDate>
  <CharactersWithSpaces>2175</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2024-07-31T09:34:00Z</dcterms:created>
  <dc:creator>win10</dc:creator>
  <cp:lastModifiedBy>外婆桥</cp:lastModifiedBy>
  <cp:lastPrinted>2024-07-17T10:26:00Z</cp:lastPrinted>
  <dcterms:modified xsi:type="dcterms:W3CDTF">2024-08-01T01:03:26Z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5F98FE98834A4AEB8D896C762BBCF589_13</vt:lpwstr>
  </property>
</Properties>
</file>